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به حدیث ثقلین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9953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509955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509957_211673320">
            <w:r>
              <w:rPr>
                <w:webHidden/>
                <w:rStyle w:val="IndexLink"/>
                <w:rtl w:val="true"/>
              </w:rPr>
              <w:t>مقدمه</w:t>
            </w:r>
            <w:r>
              <w:rPr>
                <w:rStyle w:val="IndexLink"/>
                <w:rtl w:val="true"/>
              </w:rPr>
              <w:tab/>
            </w:r>
            <w:r>
              <w:rPr>
                <w:rStyle w:val="IndexLink"/>
              </w:rPr>
              <w:t>5</w:t>
            </w:r>
          </w:hyperlink>
        </w:p>
        <w:p>
          <w:pPr>
            <w:pStyle w:val="Contents3"/>
            <w:tabs>
              <w:tab w:val="clear" w:pos="8459"/>
              <w:tab w:val="right" w:pos="9026" w:leader="dot"/>
            </w:tabs>
            <w:rPr/>
          </w:pPr>
          <w:hyperlink w:anchor="__RefHeading___Toc4509959_211673320">
            <w:r>
              <w:rPr>
                <w:webHidden/>
                <w:rStyle w:val="IndexLink"/>
                <w:rtl w:val="true"/>
              </w:rPr>
              <w:t>سرآغاز</w:t>
            </w:r>
            <w:r>
              <w:rPr>
                <w:rStyle w:val="IndexLink"/>
                <w:rtl w:val="true"/>
              </w:rPr>
              <w:tab/>
            </w:r>
            <w:r>
              <w:rPr>
                <w:rStyle w:val="IndexLink"/>
              </w:rPr>
              <w:t>5</w:t>
            </w:r>
          </w:hyperlink>
        </w:p>
        <w:p>
          <w:pPr>
            <w:pStyle w:val="Contents3"/>
            <w:tabs>
              <w:tab w:val="clear" w:pos="8459"/>
              <w:tab w:val="right" w:pos="9026" w:leader="dot"/>
            </w:tabs>
            <w:rPr/>
          </w:pPr>
          <w:hyperlink w:anchor="__RefHeading___Toc4509961_211673320">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4509963_211673320">
            <w:r>
              <w:rPr>
                <w:webHidden/>
                <w:rStyle w:val="IndexLink"/>
                <w:rtl w:val="true"/>
              </w:rPr>
              <w:t>بخش یکم</w:t>
            </w:r>
            <w:r>
              <w:rPr>
                <w:rStyle w:val="IndexLink"/>
                <w:rtl w:val="true"/>
              </w:rPr>
              <w:t xml:space="preserve">: </w:t>
            </w:r>
            <w:r>
              <w:rPr>
                <w:rStyle w:val="IndexLink"/>
                <w:rtl w:val="true"/>
              </w:rPr>
              <w:t>پژوهشی در واژگان حدیث ثقلین</w:t>
            </w:r>
            <w:r>
              <w:rPr>
                <w:rStyle w:val="IndexLink"/>
                <w:rtl w:val="true"/>
              </w:rPr>
              <w:tab/>
            </w:r>
            <w:r>
              <w:rPr>
                <w:rStyle w:val="IndexLink"/>
              </w:rPr>
              <w:t>11</w:t>
            </w:r>
          </w:hyperlink>
        </w:p>
        <w:p>
          <w:pPr>
            <w:pStyle w:val="Contents3"/>
            <w:tabs>
              <w:tab w:val="clear" w:pos="8459"/>
              <w:tab w:val="right" w:pos="9026" w:leader="dot"/>
            </w:tabs>
            <w:rPr/>
          </w:pPr>
          <w:hyperlink w:anchor="__RefHeading___Toc4509965_211673320">
            <w:r>
              <w:rPr>
                <w:webHidden/>
                <w:rStyle w:val="IndexLink"/>
                <w:rtl w:val="true"/>
              </w:rPr>
              <w:t xml:space="preserve">واژه </w:t>
            </w:r>
            <w:r>
              <w:rPr>
                <w:rStyle w:val="IndexLink"/>
                <w:rtl w:val="true"/>
              </w:rPr>
              <w:t>«</w:t>
            </w:r>
            <w:r>
              <w:rPr>
                <w:rStyle w:val="IndexLink"/>
                <w:rtl w:val="true"/>
              </w:rPr>
              <w:t>ثقل</w:t>
            </w:r>
            <w:r>
              <w:rPr>
                <w:rStyle w:val="IndexLink"/>
                <w:rtl w:val="true"/>
              </w:rPr>
              <w:t xml:space="preserve">» </w:t>
            </w:r>
            <w:r>
              <w:rPr>
                <w:rStyle w:val="IndexLink"/>
                <w:rtl w:val="true"/>
              </w:rPr>
              <w:t>از نظر لغوی</w:t>
            </w:r>
            <w:r>
              <w:rPr>
                <w:rStyle w:val="IndexLink"/>
                <w:rtl w:val="true"/>
              </w:rPr>
              <w:tab/>
            </w:r>
            <w:r>
              <w:rPr>
                <w:rStyle w:val="IndexLink"/>
              </w:rPr>
              <w:t>11</w:t>
            </w:r>
          </w:hyperlink>
        </w:p>
        <w:p>
          <w:pPr>
            <w:pStyle w:val="Contents3"/>
            <w:tabs>
              <w:tab w:val="clear" w:pos="8459"/>
              <w:tab w:val="right" w:pos="9026" w:leader="dot"/>
            </w:tabs>
            <w:rPr/>
          </w:pPr>
          <w:hyperlink w:anchor="__RefHeading___Toc4509967_211673320">
            <w:r>
              <w:rPr>
                <w:webHidden/>
                <w:rStyle w:val="IndexLink"/>
                <w:rtl w:val="true"/>
              </w:rPr>
              <w:t>بررسی واژگان دیگر</w:t>
            </w:r>
            <w:r>
              <w:rPr>
                <w:rStyle w:val="IndexLink"/>
                <w:rtl w:val="true"/>
              </w:rPr>
              <w:tab/>
            </w:r>
            <w:r>
              <w:rPr>
                <w:rStyle w:val="IndexLink"/>
              </w:rPr>
              <w:t>14</w:t>
            </w:r>
          </w:hyperlink>
        </w:p>
        <w:p>
          <w:pPr>
            <w:pStyle w:val="Contents3"/>
            <w:tabs>
              <w:tab w:val="clear" w:pos="8459"/>
              <w:tab w:val="right" w:pos="9026" w:leader="dot"/>
            </w:tabs>
            <w:rPr/>
          </w:pPr>
          <w:hyperlink w:anchor="__RefHeading___Toc4509969_211673320">
            <w:r>
              <w:rPr>
                <w:webHidden/>
                <w:rStyle w:val="IndexLink"/>
                <w:rtl w:val="true"/>
              </w:rPr>
              <w:t>نکته ای جالب</w:t>
            </w:r>
            <w:r>
              <w:rPr>
                <w:rStyle w:val="IndexLink"/>
                <w:rtl w:val="true"/>
              </w:rPr>
              <w:tab/>
            </w:r>
            <w:r>
              <w:rPr>
                <w:rStyle w:val="IndexLink"/>
              </w:rPr>
              <w:t>17</w:t>
            </w:r>
          </w:hyperlink>
        </w:p>
        <w:p>
          <w:pPr>
            <w:pStyle w:val="Contents3"/>
            <w:tabs>
              <w:tab w:val="clear" w:pos="8459"/>
              <w:tab w:val="right" w:pos="9026" w:leader="dot"/>
            </w:tabs>
            <w:rPr/>
          </w:pPr>
          <w:hyperlink w:anchor="__RefHeading___Toc4509971_211673320">
            <w:r>
              <w:rPr>
                <w:webHidden/>
                <w:rStyle w:val="IndexLink"/>
                <w:rtl w:val="true"/>
              </w:rPr>
              <w:t>نتیجه بحث</w:t>
            </w:r>
            <w:r>
              <w:rPr>
                <w:rStyle w:val="IndexLink"/>
                <w:rtl w:val="true"/>
              </w:rPr>
              <w:tab/>
            </w:r>
            <w:r>
              <w:rPr>
                <w:rStyle w:val="IndexLink"/>
              </w:rPr>
              <w:t>18</w:t>
            </w:r>
          </w:hyperlink>
        </w:p>
        <w:p>
          <w:pPr>
            <w:pStyle w:val="Contents2"/>
            <w:tabs>
              <w:tab w:val="clear" w:pos="8743"/>
              <w:tab w:val="right" w:pos="9026" w:leader="dot"/>
            </w:tabs>
            <w:rPr/>
          </w:pPr>
          <w:hyperlink w:anchor="__RefHeading___Toc4509973_211673320">
            <w:r>
              <w:rPr>
                <w:webHidden/>
                <w:rStyle w:val="IndexLink"/>
                <w:rtl w:val="true"/>
              </w:rPr>
              <w:t>بخش دوم</w:t>
            </w:r>
            <w:r>
              <w:rPr>
                <w:rStyle w:val="IndexLink"/>
                <w:rtl w:val="true"/>
              </w:rPr>
              <w:t xml:space="preserve">: </w:t>
            </w:r>
            <w:r>
              <w:rPr>
                <w:rStyle w:val="IndexLink"/>
                <w:rtl w:val="true"/>
              </w:rPr>
              <w:t>نگاهی به راویان حدیث ثقلین</w:t>
            </w:r>
            <w:r>
              <w:rPr>
                <w:rStyle w:val="IndexLink"/>
                <w:rtl w:val="true"/>
              </w:rPr>
              <w:tab/>
            </w:r>
            <w:r>
              <w:rPr>
                <w:rStyle w:val="IndexLink"/>
              </w:rPr>
              <w:t>21</w:t>
            </w:r>
          </w:hyperlink>
        </w:p>
        <w:p>
          <w:pPr>
            <w:pStyle w:val="Contents3"/>
            <w:tabs>
              <w:tab w:val="clear" w:pos="8459"/>
              <w:tab w:val="right" w:pos="9026" w:leader="dot"/>
            </w:tabs>
            <w:rPr/>
          </w:pPr>
          <w:hyperlink w:anchor="__RefHeading___Toc4509975_211673320">
            <w:r>
              <w:rPr>
                <w:webHidden/>
                <w:rStyle w:val="IndexLink"/>
                <w:rtl w:val="true"/>
              </w:rPr>
              <w:t>راویان حدیث ثقلین</w:t>
            </w:r>
            <w:r>
              <w:rPr>
                <w:rStyle w:val="IndexLink"/>
                <w:rtl w:val="true"/>
              </w:rPr>
              <w:tab/>
            </w:r>
            <w:r>
              <w:rPr>
                <w:rStyle w:val="IndexLink"/>
              </w:rPr>
              <w:t>21</w:t>
            </w:r>
          </w:hyperlink>
        </w:p>
        <w:p>
          <w:pPr>
            <w:pStyle w:val="Contents3"/>
            <w:tabs>
              <w:tab w:val="clear" w:pos="8459"/>
              <w:tab w:val="right" w:pos="9026" w:leader="dot"/>
            </w:tabs>
            <w:rPr/>
          </w:pPr>
          <w:hyperlink w:anchor="__RefHeading___Toc4509977_211673320">
            <w:r>
              <w:rPr>
                <w:webHidden/>
                <w:rStyle w:val="IndexLink"/>
                <w:rtl w:val="true"/>
              </w:rPr>
              <w:t>حدیث ثقلین به روایت پیشوایان مشهور اهل تسنّن</w:t>
            </w:r>
            <w:r>
              <w:rPr>
                <w:rStyle w:val="IndexLink"/>
                <w:rtl w:val="true"/>
              </w:rPr>
              <w:tab/>
            </w:r>
            <w:r>
              <w:rPr>
                <w:rStyle w:val="IndexLink"/>
              </w:rPr>
              <w:t>22</w:t>
            </w:r>
          </w:hyperlink>
        </w:p>
        <w:p>
          <w:pPr>
            <w:pStyle w:val="Contents2"/>
            <w:tabs>
              <w:tab w:val="clear" w:pos="8743"/>
              <w:tab w:val="right" w:pos="9026" w:leader="dot"/>
            </w:tabs>
            <w:rPr/>
          </w:pPr>
          <w:hyperlink w:anchor="__RefHeading___Toc4509979_211673320">
            <w:r>
              <w:rPr>
                <w:webHidden/>
                <w:rStyle w:val="IndexLink"/>
                <w:rtl w:val="true"/>
              </w:rPr>
              <w:t>بخش سوم</w:t>
            </w:r>
            <w:r>
              <w:rPr>
                <w:rStyle w:val="IndexLink"/>
                <w:rtl w:val="true"/>
              </w:rPr>
              <w:t xml:space="preserve">: </w:t>
            </w:r>
            <w:r>
              <w:rPr>
                <w:rStyle w:val="IndexLink"/>
                <w:rtl w:val="true"/>
              </w:rPr>
              <w:t>بررسی دلالت های حدیث ثقلین</w:t>
            </w:r>
            <w:r>
              <w:rPr>
                <w:rStyle w:val="IndexLink"/>
                <w:rtl w:val="true"/>
              </w:rPr>
              <w:tab/>
            </w:r>
            <w:r>
              <w:rPr>
                <w:rStyle w:val="IndexLink"/>
              </w:rPr>
              <w:t>27</w:t>
            </w:r>
          </w:hyperlink>
        </w:p>
        <w:p>
          <w:pPr>
            <w:pStyle w:val="Contents3"/>
            <w:tabs>
              <w:tab w:val="clear" w:pos="8459"/>
              <w:tab w:val="right" w:pos="9026" w:leader="dot"/>
            </w:tabs>
            <w:rPr/>
          </w:pPr>
          <w:hyperlink w:anchor="__RefHeading___Toc4509981_211673320">
            <w:r>
              <w:rPr>
                <w:webHidden/>
                <w:rStyle w:val="IndexLink"/>
                <w:rtl w:val="true"/>
              </w:rPr>
              <w:t>حدیث ثقلین بیان گر امامت و خلافت</w:t>
            </w:r>
            <w:r>
              <w:rPr>
                <w:rStyle w:val="IndexLink"/>
                <w:rtl w:val="true"/>
              </w:rPr>
              <w:tab/>
            </w:r>
            <w:r>
              <w:rPr>
                <w:rStyle w:val="IndexLink"/>
              </w:rPr>
              <w:t>27</w:t>
            </w:r>
          </w:hyperlink>
        </w:p>
        <w:p>
          <w:pPr>
            <w:pStyle w:val="Contents3"/>
            <w:tabs>
              <w:tab w:val="clear" w:pos="8459"/>
              <w:tab w:val="right" w:pos="9026" w:leader="dot"/>
            </w:tabs>
            <w:rPr/>
          </w:pPr>
          <w:hyperlink w:anchor="__RefHeading___Toc4509983_211673320">
            <w:r>
              <w:rPr>
                <w:webHidden/>
                <w:rStyle w:val="IndexLink"/>
                <w:rtl w:val="true"/>
              </w:rPr>
              <w:t>دیدگاه بزرگان اهل سنّت در دلالت حدیث</w:t>
            </w:r>
            <w:r>
              <w:rPr>
                <w:rStyle w:val="IndexLink"/>
                <w:rtl w:val="true"/>
              </w:rPr>
              <w:tab/>
            </w:r>
            <w:r>
              <w:rPr>
                <w:rStyle w:val="IndexLink"/>
              </w:rPr>
              <w:t>28</w:t>
            </w:r>
          </w:hyperlink>
        </w:p>
        <w:p>
          <w:pPr>
            <w:pStyle w:val="Contents3"/>
            <w:tabs>
              <w:tab w:val="clear" w:pos="8459"/>
              <w:tab w:val="right" w:pos="9026" w:leader="dot"/>
            </w:tabs>
            <w:rPr/>
          </w:pPr>
          <w:hyperlink w:anchor="__RefHeading___Toc4509985_211673320">
            <w:r>
              <w:rPr>
                <w:webHidden/>
                <w:rStyle w:val="IndexLink"/>
                <w:rtl w:val="true"/>
              </w:rPr>
              <w:t>حدیث ثقلین بیان گر اعلمیّت اهل بیت علیهم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4509987_211673320">
            <w:r>
              <w:rPr>
                <w:webHidden/>
                <w:rStyle w:val="IndexLink"/>
                <w:rtl w:val="true"/>
              </w:rPr>
              <w:t>حدیث ثقلین بیان گر عصمت اهل بیت علیهم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4509989_211673320">
            <w:r>
              <w:rPr>
                <w:webHidden/>
                <w:rStyle w:val="IndexLink"/>
                <w:rtl w:val="true"/>
              </w:rPr>
              <w:t>اقتران حدیث ثقلین با احادیث دیگر</w:t>
            </w:r>
            <w:r>
              <w:rPr>
                <w:rStyle w:val="IndexLink"/>
                <w:rtl w:val="true"/>
              </w:rPr>
              <w:tab/>
            </w:r>
            <w:r>
              <w:rPr>
                <w:rStyle w:val="IndexLink"/>
              </w:rPr>
              <w:t>34</w:t>
            </w:r>
          </w:hyperlink>
        </w:p>
        <w:p>
          <w:pPr>
            <w:pStyle w:val="Contents3"/>
            <w:tabs>
              <w:tab w:val="clear" w:pos="8459"/>
              <w:tab w:val="right" w:pos="9026" w:leader="dot"/>
            </w:tabs>
            <w:rPr/>
          </w:pPr>
          <w:hyperlink w:anchor="__RefHeading___Toc4509991_211673320">
            <w:r>
              <w:rPr>
                <w:webHidden/>
                <w:rStyle w:val="IndexLink"/>
                <w:rtl w:val="true"/>
              </w:rPr>
              <w:t>وصیّت به قرآن کریم و عترت در موارد مختلف</w:t>
            </w:r>
            <w:r>
              <w:rPr>
                <w:rStyle w:val="IndexLink"/>
                <w:rtl w:val="true"/>
              </w:rPr>
              <w:tab/>
            </w:r>
            <w:r>
              <w:rPr>
                <w:rStyle w:val="IndexLink"/>
              </w:rPr>
              <w:t>36</w:t>
            </w:r>
          </w:hyperlink>
        </w:p>
        <w:p>
          <w:pPr>
            <w:pStyle w:val="Contents3"/>
            <w:tabs>
              <w:tab w:val="clear" w:pos="8459"/>
              <w:tab w:val="right" w:pos="9026" w:leader="dot"/>
            </w:tabs>
            <w:rPr/>
          </w:pPr>
          <w:hyperlink w:anchor="__RefHeading___Toc4509993_211673320">
            <w:r>
              <w:rPr>
                <w:webHidden/>
                <w:rStyle w:val="IndexLink"/>
                <w:rtl w:val="true"/>
              </w:rPr>
              <w:t>دعوت به اتّحاد در پرتو تعلیمات حدیث ثقلین</w:t>
            </w:r>
            <w:r>
              <w:rPr>
                <w:rStyle w:val="IndexLink"/>
                <w:rtl w:val="true"/>
              </w:rPr>
              <w:tab/>
            </w:r>
            <w:r>
              <w:rPr>
                <w:rStyle w:val="IndexLink"/>
              </w:rPr>
              <w:t>38</w:t>
            </w:r>
          </w:hyperlink>
        </w:p>
        <w:p>
          <w:pPr>
            <w:pStyle w:val="Contents3"/>
            <w:tabs>
              <w:tab w:val="clear" w:pos="8459"/>
              <w:tab w:val="right" w:pos="9026" w:leader="dot"/>
            </w:tabs>
            <w:rPr/>
          </w:pPr>
          <w:hyperlink w:anchor="__RefHeading___Toc4509995_211673320">
            <w:r>
              <w:rPr>
                <w:webHidden/>
                <w:rStyle w:val="IndexLink"/>
                <w:rtl w:val="true"/>
              </w:rPr>
              <w:t>چکیده سخن</w:t>
            </w:r>
            <w:r>
              <w:rPr>
                <w:rStyle w:val="IndexLink"/>
                <w:rtl w:val="true"/>
              </w:rPr>
              <w:tab/>
            </w:r>
            <w:r>
              <w:rPr>
                <w:rStyle w:val="IndexLink"/>
              </w:rPr>
              <w:t>40</w:t>
            </w:r>
          </w:hyperlink>
        </w:p>
        <w:p>
          <w:pPr>
            <w:pStyle w:val="Contents2"/>
            <w:tabs>
              <w:tab w:val="clear" w:pos="8743"/>
              <w:tab w:val="right" w:pos="9026" w:leader="dot"/>
            </w:tabs>
            <w:rPr/>
          </w:pPr>
          <w:hyperlink w:anchor="__RefHeading___Toc4509997_211673320">
            <w:r>
              <w:rPr>
                <w:webHidden/>
                <w:rStyle w:val="IndexLink"/>
                <w:rtl w:val="true"/>
              </w:rPr>
              <w:t>بخش چهارم</w:t>
            </w:r>
            <w:r>
              <w:rPr>
                <w:rStyle w:val="IndexLink"/>
                <w:rtl w:val="true"/>
              </w:rPr>
              <w:t xml:space="preserve">: </w:t>
            </w:r>
            <w:r>
              <w:rPr>
                <w:rStyle w:val="IndexLink"/>
                <w:rtl w:val="true"/>
              </w:rPr>
              <w:t>بررسی اشکال ها و ایرادهای واهی بر حدیث ثقلین</w:t>
            </w:r>
            <w:r>
              <w:rPr>
                <w:rStyle w:val="IndexLink"/>
                <w:rtl w:val="true"/>
              </w:rPr>
              <w:tab/>
            </w:r>
            <w:r>
              <w:rPr>
                <w:rStyle w:val="IndexLink"/>
              </w:rPr>
              <w:t>42</w:t>
            </w:r>
          </w:hyperlink>
        </w:p>
        <w:p>
          <w:pPr>
            <w:pStyle w:val="Contents3"/>
            <w:tabs>
              <w:tab w:val="clear" w:pos="8459"/>
              <w:tab w:val="right" w:pos="9026" w:leader="dot"/>
            </w:tabs>
            <w:rPr/>
          </w:pPr>
          <w:hyperlink w:anchor="__RefHeading___Toc4509999_211673320">
            <w:r>
              <w:rPr>
                <w:webHidden/>
                <w:rStyle w:val="IndexLink"/>
                <w:rtl w:val="true"/>
              </w:rPr>
              <w:t>اشکال ها و ایرادها</w:t>
            </w:r>
            <w:r>
              <w:rPr>
                <w:rStyle w:val="IndexLink"/>
                <w:rtl w:val="true"/>
              </w:rPr>
              <w:tab/>
            </w:r>
            <w:r>
              <w:rPr>
                <w:rStyle w:val="IndexLink"/>
              </w:rPr>
              <w:t>42</w:t>
            </w:r>
          </w:hyperlink>
        </w:p>
        <w:p>
          <w:pPr>
            <w:pStyle w:val="Contents3"/>
            <w:tabs>
              <w:tab w:val="clear" w:pos="8459"/>
              <w:tab w:val="right" w:pos="9026" w:leader="dot"/>
            </w:tabs>
            <w:rPr/>
          </w:pPr>
          <w:hyperlink w:anchor="__RefHeading___Toc4510001_211673320">
            <w:r>
              <w:rPr>
                <w:webHidden/>
                <w:rStyle w:val="IndexLink"/>
                <w:rtl w:val="true"/>
              </w:rPr>
              <w:t>تضعیف حدیث</w:t>
            </w:r>
            <w:r>
              <w:rPr>
                <w:rStyle w:val="IndexLink"/>
                <w:rtl w:val="true"/>
              </w:rPr>
              <w:tab/>
            </w:r>
            <w:r>
              <w:rPr>
                <w:rStyle w:val="IndexLink"/>
              </w:rPr>
              <w:t>42</w:t>
            </w:r>
          </w:hyperlink>
        </w:p>
        <w:p>
          <w:pPr>
            <w:pStyle w:val="Contents3"/>
            <w:tabs>
              <w:tab w:val="clear" w:pos="8459"/>
              <w:tab w:val="right" w:pos="9026" w:leader="dot"/>
            </w:tabs>
            <w:rPr/>
          </w:pPr>
          <w:hyperlink w:anchor="__RefHeading___Toc4510003_211673320">
            <w:r>
              <w:rPr>
                <w:webHidden/>
                <w:rStyle w:val="IndexLink"/>
                <w:rtl w:val="true"/>
              </w:rPr>
              <w:t>ناشناخته بودن متن حدیث</w:t>
            </w:r>
            <w:r>
              <w:rPr>
                <w:rStyle w:val="IndexLink"/>
                <w:rtl w:val="true"/>
              </w:rPr>
              <w:tab/>
            </w:r>
            <w:r>
              <w:rPr>
                <w:rStyle w:val="IndexLink"/>
              </w:rPr>
              <w:t>46</w:t>
            </w:r>
          </w:hyperlink>
        </w:p>
        <w:p>
          <w:pPr>
            <w:pStyle w:val="Contents3"/>
            <w:tabs>
              <w:tab w:val="clear" w:pos="8459"/>
              <w:tab w:val="right" w:pos="9026" w:leader="dot"/>
            </w:tabs>
            <w:rPr/>
          </w:pPr>
          <w:hyperlink w:anchor="__RefHeading___Toc4510005_211673320">
            <w:r>
              <w:rPr>
                <w:webHidden/>
                <w:rStyle w:val="IndexLink"/>
                <w:rtl w:val="true"/>
              </w:rPr>
              <w:t>تحریف حدیث</w:t>
            </w:r>
            <w:r>
              <w:rPr>
                <w:rStyle w:val="IndexLink"/>
                <w:rtl w:val="true"/>
              </w:rPr>
              <w:tab/>
            </w:r>
            <w:r>
              <w:rPr>
                <w:rStyle w:val="IndexLink"/>
              </w:rPr>
              <w:t>47</w:t>
            </w:r>
          </w:hyperlink>
        </w:p>
        <w:p>
          <w:pPr>
            <w:pStyle w:val="Contents3"/>
            <w:tabs>
              <w:tab w:val="clear" w:pos="8459"/>
              <w:tab w:val="right" w:pos="9026" w:leader="dot"/>
            </w:tabs>
            <w:rPr/>
          </w:pPr>
          <w:hyperlink w:anchor="__RefHeading___Toc4510007_211673320">
            <w:r>
              <w:rPr>
                <w:webHidden/>
                <w:rStyle w:val="IndexLink"/>
                <w:rtl w:val="true"/>
              </w:rPr>
              <w:t>معارضه با احادیث دیگر</w:t>
            </w:r>
            <w:r>
              <w:rPr>
                <w:rStyle w:val="IndexLink"/>
                <w:rtl w:val="true"/>
              </w:rPr>
              <w:tab/>
            </w:r>
            <w:r>
              <w:rPr>
                <w:rStyle w:val="IndexLink"/>
              </w:rPr>
              <w:t>51</w:t>
            </w:r>
          </w:hyperlink>
        </w:p>
        <w:p>
          <w:pPr>
            <w:pStyle w:val="Contents3"/>
            <w:tabs>
              <w:tab w:val="clear" w:pos="8459"/>
              <w:tab w:val="right" w:pos="9026" w:leader="dot"/>
            </w:tabs>
            <w:rPr/>
          </w:pPr>
          <w:hyperlink w:anchor="__RefHeading___Toc4510009_211673320">
            <w:r>
              <w:rPr>
                <w:webHidden/>
                <w:rStyle w:val="IndexLink"/>
                <w:rtl w:val="true"/>
              </w:rPr>
              <w:t>تکذیب حدیث</w:t>
            </w:r>
            <w:r>
              <w:rPr>
                <w:rStyle w:val="IndexLink"/>
                <w:rtl w:val="true"/>
              </w:rPr>
              <w:tab/>
            </w:r>
            <w:r>
              <w:rPr>
                <w:rStyle w:val="IndexLink"/>
              </w:rPr>
              <w:t>53</w:t>
            </w:r>
          </w:hyperlink>
        </w:p>
        <w:p>
          <w:pPr>
            <w:pStyle w:val="Contents2"/>
            <w:tabs>
              <w:tab w:val="clear" w:pos="8743"/>
              <w:tab w:val="right" w:pos="9026" w:leader="dot"/>
            </w:tabs>
            <w:rPr/>
          </w:pPr>
          <w:hyperlink w:anchor="__RefHeading___Toc4510011_211673320">
            <w:r>
              <w:rPr>
                <w:webHidden/>
                <w:rStyle w:val="IndexLink"/>
                <w:rtl w:val="true"/>
              </w:rPr>
              <w:t>کتاب نامه</w:t>
            </w:r>
            <w:r>
              <w:rPr>
                <w:rStyle w:val="IndexLink"/>
                <w:rtl w:val="true"/>
              </w:rPr>
              <w:tab/>
            </w:r>
            <w:r>
              <w:rPr>
                <w:rStyle w:val="IndexLink"/>
              </w:rPr>
              <w:t>56</w:t>
            </w:r>
          </w:hyperlink>
        </w:p>
        <w:p>
          <w:pPr>
            <w:pStyle w:val="Contents3"/>
            <w:tabs>
              <w:tab w:val="clear" w:pos="8459"/>
              <w:tab w:val="right" w:pos="9026" w:leader="dot"/>
            </w:tabs>
            <w:rPr/>
          </w:pPr>
          <w:hyperlink w:anchor="__RefHeading___Toc4510013_211673320">
            <w:r>
              <w:rPr>
                <w:webHidden/>
                <w:rStyle w:val="IndexLink"/>
                <w:rtl w:val="true"/>
              </w:rPr>
              <w:t>«</w:t>
            </w:r>
            <w:r>
              <w:rPr>
                <w:rStyle w:val="IndexLink"/>
                <w:rtl w:val="true"/>
              </w:rPr>
              <w:t>الف</w:t>
            </w:r>
            <w:r>
              <w:rPr>
                <w:rStyle w:val="IndexLink"/>
                <w:rtl w:val="true"/>
              </w:rPr>
              <w:t>»</w:t>
              <w:tab/>
            </w:r>
            <w:r>
              <w:rPr>
                <w:rStyle w:val="IndexLink"/>
              </w:rPr>
              <w:t>56</w:t>
            </w:r>
          </w:hyperlink>
        </w:p>
        <w:p>
          <w:pPr>
            <w:pStyle w:val="Contents3"/>
            <w:tabs>
              <w:tab w:val="clear" w:pos="8459"/>
              <w:tab w:val="right" w:pos="9026" w:leader="dot"/>
            </w:tabs>
            <w:rPr/>
          </w:pPr>
          <w:hyperlink w:anchor="__RefHeading___Toc4510015_211673320">
            <w:r>
              <w:rPr>
                <w:webHidden/>
                <w:rStyle w:val="IndexLink"/>
                <w:rtl w:val="true"/>
              </w:rPr>
              <w:t>«</w:t>
            </w:r>
            <w:r>
              <w:rPr>
                <w:rStyle w:val="IndexLink"/>
                <w:rtl w:val="true"/>
              </w:rPr>
              <w:t>ب</w:t>
            </w:r>
            <w:r>
              <w:rPr>
                <w:rStyle w:val="IndexLink"/>
                <w:rtl w:val="true"/>
              </w:rPr>
              <w:t>»</w:t>
              <w:tab/>
            </w:r>
            <w:r>
              <w:rPr>
                <w:rStyle w:val="IndexLink"/>
              </w:rPr>
              <w:t>56</w:t>
            </w:r>
          </w:hyperlink>
        </w:p>
        <w:p>
          <w:pPr>
            <w:pStyle w:val="Contents3"/>
            <w:tabs>
              <w:tab w:val="clear" w:pos="8459"/>
              <w:tab w:val="right" w:pos="9026" w:leader="dot"/>
            </w:tabs>
            <w:rPr/>
          </w:pPr>
          <w:hyperlink w:anchor="__RefHeading___Toc4510017_211673320">
            <w:r>
              <w:rPr>
                <w:webHidden/>
                <w:rStyle w:val="IndexLink"/>
                <w:rtl w:val="true"/>
              </w:rPr>
              <w:t>«</w:t>
            </w:r>
            <w:r>
              <w:rPr>
                <w:rStyle w:val="IndexLink"/>
                <w:rtl w:val="true"/>
              </w:rPr>
              <w:t>ت</w:t>
            </w:r>
            <w:r>
              <w:rPr>
                <w:rStyle w:val="IndexLink"/>
                <w:rtl w:val="true"/>
              </w:rPr>
              <w:t>»</w:t>
              <w:tab/>
            </w:r>
            <w:r>
              <w:rPr>
                <w:rStyle w:val="IndexLink"/>
              </w:rPr>
              <w:t>57</w:t>
            </w:r>
          </w:hyperlink>
        </w:p>
        <w:p>
          <w:pPr>
            <w:pStyle w:val="Contents3"/>
            <w:tabs>
              <w:tab w:val="clear" w:pos="8459"/>
              <w:tab w:val="right" w:pos="9026" w:leader="dot"/>
            </w:tabs>
            <w:rPr/>
          </w:pPr>
          <w:hyperlink w:anchor="__RefHeading___Toc4510019_211673320">
            <w:r>
              <w:rPr>
                <w:webHidden/>
                <w:rStyle w:val="IndexLink"/>
                <w:rtl w:val="true"/>
              </w:rPr>
              <w:t>«</w:t>
            </w:r>
            <w:r>
              <w:rPr>
                <w:rStyle w:val="IndexLink"/>
                <w:rtl w:val="true"/>
              </w:rPr>
              <w:t>ج</w:t>
            </w:r>
            <w:r>
              <w:rPr>
                <w:rStyle w:val="IndexLink"/>
                <w:rtl w:val="true"/>
              </w:rPr>
              <w:t>»</w:t>
              <w:tab/>
            </w:r>
            <w:r>
              <w:rPr>
                <w:rStyle w:val="IndexLink"/>
              </w:rPr>
              <w:t>57</w:t>
            </w:r>
          </w:hyperlink>
        </w:p>
        <w:p>
          <w:pPr>
            <w:pStyle w:val="Contents3"/>
            <w:tabs>
              <w:tab w:val="clear" w:pos="8459"/>
              <w:tab w:val="right" w:pos="9026" w:leader="dot"/>
            </w:tabs>
            <w:rPr/>
          </w:pPr>
          <w:hyperlink w:anchor="__RefHeading___Toc4510021_211673320">
            <w:r>
              <w:rPr>
                <w:webHidden/>
                <w:rStyle w:val="IndexLink"/>
                <w:rtl w:val="true"/>
              </w:rPr>
              <w:t>«</w:t>
            </w:r>
            <w:r>
              <w:rPr>
                <w:rStyle w:val="IndexLink"/>
                <w:rtl w:val="true"/>
              </w:rPr>
              <w:t>د</w:t>
            </w:r>
            <w:r>
              <w:rPr>
                <w:rStyle w:val="IndexLink"/>
                <w:rtl w:val="true"/>
              </w:rPr>
              <w:t>»</w:t>
              <w:tab/>
            </w:r>
            <w:r>
              <w:rPr>
                <w:rStyle w:val="IndexLink"/>
              </w:rPr>
              <w:t>57</w:t>
            </w:r>
          </w:hyperlink>
        </w:p>
        <w:p>
          <w:pPr>
            <w:pStyle w:val="Contents3"/>
            <w:tabs>
              <w:tab w:val="clear" w:pos="8459"/>
              <w:tab w:val="right" w:pos="9026" w:leader="dot"/>
            </w:tabs>
            <w:rPr/>
          </w:pPr>
          <w:hyperlink w:anchor="__RefHeading___Toc4510023_211673320">
            <w:r>
              <w:rPr>
                <w:webHidden/>
                <w:rStyle w:val="IndexLink"/>
                <w:rtl w:val="true"/>
              </w:rPr>
              <w:t>«</w:t>
            </w:r>
            <w:r>
              <w:rPr>
                <w:rStyle w:val="IndexLink"/>
                <w:rtl w:val="true"/>
              </w:rPr>
              <w:t>س</w:t>
            </w:r>
            <w:r>
              <w:rPr>
                <w:rStyle w:val="IndexLink"/>
                <w:rtl w:val="true"/>
              </w:rPr>
              <w:t>»</w:t>
              <w:tab/>
            </w:r>
            <w:r>
              <w:rPr>
                <w:rStyle w:val="IndexLink"/>
              </w:rPr>
              <w:t>58</w:t>
            </w:r>
          </w:hyperlink>
        </w:p>
        <w:p>
          <w:pPr>
            <w:pStyle w:val="Contents3"/>
            <w:tabs>
              <w:tab w:val="clear" w:pos="8459"/>
              <w:tab w:val="right" w:pos="9026" w:leader="dot"/>
            </w:tabs>
            <w:rPr/>
          </w:pPr>
          <w:hyperlink w:anchor="__RefHeading___Toc4510025_211673320">
            <w:r>
              <w:rPr>
                <w:webHidden/>
                <w:rStyle w:val="IndexLink"/>
                <w:rtl w:val="true"/>
              </w:rPr>
              <w:t>«</w:t>
            </w:r>
            <w:r>
              <w:rPr>
                <w:rStyle w:val="IndexLink"/>
                <w:rtl w:val="true"/>
              </w:rPr>
              <w:t>ش</w:t>
            </w:r>
            <w:r>
              <w:rPr>
                <w:rStyle w:val="IndexLink"/>
                <w:rtl w:val="true"/>
              </w:rPr>
              <w:t>»</w:t>
              <w:tab/>
            </w:r>
            <w:r>
              <w:rPr>
                <w:rStyle w:val="IndexLink"/>
              </w:rPr>
              <w:t>58</w:t>
            </w:r>
          </w:hyperlink>
        </w:p>
        <w:p>
          <w:pPr>
            <w:pStyle w:val="Contents3"/>
            <w:tabs>
              <w:tab w:val="clear" w:pos="8459"/>
              <w:tab w:val="right" w:pos="9026" w:leader="dot"/>
            </w:tabs>
            <w:rPr/>
          </w:pPr>
          <w:hyperlink w:anchor="__RefHeading___Toc4510027_211673320">
            <w:r>
              <w:rPr>
                <w:webHidden/>
                <w:rStyle w:val="IndexLink"/>
                <w:rtl w:val="true"/>
              </w:rPr>
              <w:t>«</w:t>
            </w:r>
            <w:r>
              <w:rPr>
                <w:rStyle w:val="IndexLink"/>
                <w:rtl w:val="true"/>
              </w:rPr>
              <w:t>ص</w:t>
            </w:r>
            <w:r>
              <w:rPr>
                <w:rStyle w:val="IndexLink"/>
                <w:rtl w:val="true"/>
              </w:rPr>
              <w:t>»</w:t>
              <w:tab/>
            </w:r>
            <w:r>
              <w:rPr>
                <w:rStyle w:val="IndexLink"/>
              </w:rPr>
              <w:t>58</w:t>
            </w:r>
          </w:hyperlink>
        </w:p>
        <w:p>
          <w:pPr>
            <w:pStyle w:val="Contents3"/>
            <w:tabs>
              <w:tab w:val="clear" w:pos="8459"/>
              <w:tab w:val="right" w:pos="9026" w:leader="dot"/>
            </w:tabs>
            <w:rPr/>
          </w:pPr>
          <w:hyperlink w:anchor="__RefHeading___Toc4510029_211673320">
            <w:r>
              <w:rPr>
                <w:webHidden/>
                <w:rStyle w:val="IndexLink"/>
                <w:rtl w:val="true"/>
              </w:rPr>
              <w:t>«</w:t>
            </w:r>
            <w:r>
              <w:rPr>
                <w:rStyle w:val="IndexLink"/>
                <w:rtl w:val="true"/>
              </w:rPr>
              <w:t>ط</w:t>
            </w:r>
            <w:r>
              <w:rPr>
                <w:rStyle w:val="IndexLink"/>
                <w:rtl w:val="true"/>
              </w:rPr>
              <w:t>»</w:t>
              <w:tab/>
            </w:r>
            <w:r>
              <w:rPr>
                <w:rStyle w:val="IndexLink"/>
              </w:rPr>
              <w:t>59</w:t>
            </w:r>
          </w:hyperlink>
        </w:p>
        <w:p>
          <w:pPr>
            <w:pStyle w:val="Contents3"/>
            <w:tabs>
              <w:tab w:val="clear" w:pos="8459"/>
              <w:tab w:val="right" w:pos="9026" w:leader="dot"/>
            </w:tabs>
            <w:rPr/>
          </w:pPr>
          <w:hyperlink w:anchor="__RefHeading___Toc4510031_211673320">
            <w:r>
              <w:rPr>
                <w:webHidden/>
                <w:rStyle w:val="IndexLink"/>
                <w:rtl w:val="true"/>
              </w:rPr>
              <w:t>«</w:t>
            </w:r>
            <w:r>
              <w:rPr>
                <w:rStyle w:val="IndexLink"/>
                <w:rtl w:val="true"/>
              </w:rPr>
              <w:t>ع</w:t>
            </w:r>
            <w:r>
              <w:rPr>
                <w:rStyle w:val="IndexLink"/>
                <w:rtl w:val="true"/>
              </w:rPr>
              <w:t>»</w:t>
              <w:tab/>
            </w:r>
            <w:r>
              <w:rPr>
                <w:rStyle w:val="IndexLink"/>
              </w:rPr>
              <w:t>59</w:t>
            </w:r>
          </w:hyperlink>
        </w:p>
        <w:p>
          <w:pPr>
            <w:pStyle w:val="Contents3"/>
            <w:tabs>
              <w:tab w:val="clear" w:pos="8459"/>
              <w:tab w:val="right" w:pos="9026" w:leader="dot"/>
            </w:tabs>
            <w:rPr/>
          </w:pPr>
          <w:hyperlink w:anchor="__RefHeading___Toc4510033_211673320">
            <w:r>
              <w:rPr>
                <w:webHidden/>
                <w:rStyle w:val="IndexLink"/>
                <w:rtl w:val="true"/>
              </w:rPr>
              <w:t>«</w:t>
            </w:r>
            <w:r>
              <w:rPr>
                <w:rStyle w:val="IndexLink"/>
                <w:rtl w:val="true"/>
              </w:rPr>
              <w:t>ف</w:t>
            </w:r>
            <w:r>
              <w:rPr>
                <w:rStyle w:val="IndexLink"/>
                <w:rtl w:val="true"/>
              </w:rPr>
              <w:t>»</w:t>
              <w:tab/>
            </w:r>
            <w:r>
              <w:rPr>
                <w:rStyle w:val="IndexLink"/>
              </w:rPr>
              <w:t>59</w:t>
            </w:r>
          </w:hyperlink>
        </w:p>
        <w:p>
          <w:pPr>
            <w:pStyle w:val="Contents3"/>
            <w:tabs>
              <w:tab w:val="clear" w:pos="8459"/>
              <w:tab w:val="right" w:pos="9026" w:leader="dot"/>
            </w:tabs>
            <w:rPr/>
          </w:pPr>
          <w:hyperlink w:anchor="__RefHeading___Toc4510035_211673320">
            <w:r>
              <w:rPr>
                <w:webHidden/>
                <w:rStyle w:val="IndexLink"/>
                <w:rtl w:val="true"/>
              </w:rPr>
              <w:t>«</w:t>
            </w:r>
            <w:r>
              <w:rPr>
                <w:rStyle w:val="IndexLink"/>
                <w:rtl w:val="true"/>
              </w:rPr>
              <w:t>ق</w:t>
            </w:r>
            <w:r>
              <w:rPr>
                <w:rStyle w:val="IndexLink"/>
                <w:rtl w:val="true"/>
              </w:rPr>
              <w:t>»</w:t>
              <w:tab/>
            </w:r>
            <w:r>
              <w:rPr>
                <w:rStyle w:val="IndexLink"/>
              </w:rPr>
              <w:t>60</w:t>
            </w:r>
          </w:hyperlink>
        </w:p>
        <w:p>
          <w:pPr>
            <w:pStyle w:val="Contents3"/>
            <w:tabs>
              <w:tab w:val="clear" w:pos="8459"/>
              <w:tab w:val="right" w:pos="9026" w:leader="dot"/>
            </w:tabs>
            <w:rPr/>
          </w:pPr>
          <w:hyperlink w:anchor="__RefHeading___Toc4510037_211673320">
            <w:r>
              <w:rPr>
                <w:webHidden/>
                <w:rStyle w:val="IndexLink"/>
                <w:rtl w:val="true"/>
              </w:rPr>
              <w:t>«</w:t>
            </w:r>
            <w:r>
              <w:rPr>
                <w:rStyle w:val="IndexLink"/>
                <w:rtl w:val="true"/>
              </w:rPr>
              <w:t>ک</w:t>
            </w:r>
            <w:r>
              <w:rPr>
                <w:rStyle w:val="IndexLink"/>
                <w:rtl w:val="true"/>
              </w:rPr>
              <w:t>»</w:t>
              <w:tab/>
            </w:r>
            <w:r>
              <w:rPr>
                <w:rStyle w:val="IndexLink"/>
              </w:rPr>
              <w:t>60</w:t>
            </w:r>
          </w:hyperlink>
        </w:p>
        <w:p>
          <w:pPr>
            <w:pStyle w:val="Contents3"/>
            <w:tabs>
              <w:tab w:val="clear" w:pos="8459"/>
              <w:tab w:val="right" w:pos="9026" w:leader="dot"/>
            </w:tabs>
            <w:rPr/>
          </w:pPr>
          <w:hyperlink w:anchor="__RefHeading___Toc4510039_211673320">
            <w:r>
              <w:rPr>
                <w:webHidden/>
                <w:rStyle w:val="IndexLink"/>
                <w:rtl w:val="true"/>
              </w:rPr>
              <w:t>«</w:t>
            </w:r>
            <w:r>
              <w:rPr>
                <w:rStyle w:val="IndexLink"/>
                <w:rtl w:val="true"/>
              </w:rPr>
              <w:t>ل</w:t>
            </w:r>
            <w:r>
              <w:rPr>
                <w:rStyle w:val="IndexLink"/>
                <w:rtl w:val="true"/>
              </w:rPr>
              <w:t>»</w:t>
              <w:tab/>
            </w:r>
            <w:r>
              <w:rPr>
                <w:rStyle w:val="IndexLink"/>
              </w:rPr>
              <w:t>60</w:t>
            </w:r>
          </w:hyperlink>
        </w:p>
        <w:p>
          <w:pPr>
            <w:pStyle w:val="Contents3"/>
            <w:tabs>
              <w:tab w:val="clear" w:pos="8459"/>
              <w:tab w:val="right" w:pos="9026" w:leader="dot"/>
            </w:tabs>
            <w:rPr/>
          </w:pPr>
          <w:hyperlink w:anchor="__RefHeading___Toc4510041_211673320">
            <w:r>
              <w:rPr>
                <w:webHidden/>
                <w:rStyle w:val="IndexLink"/>
                <w:rtl w:val="true"/>
              </w:rPr>
              <w:t>«</w:t>
            </w:r>
            <w:r>
              <w:rPr>
                <w:rStyle w:val="IndexLink"/>
                <w:rtl w:val="true"/>
              </w:rPr>
              <w:t>م</w:t>
            </w:r>
            <w:r>
              <w:rPr>
                <w:rStyle w:val="IndexLink"/>
                <w:rtl w:val="true"/>
              </w:rPr>
              <w:t>»</w:t>
              <w:tab/>
            </w:r>
            <w:r>
              <w:rPr>
                <w:rStyle w:val="IndexLink"/>
              </w:rPr>
              <w:t>61</w:t>
            </w:r>
          </w:hyperlink>
        </w:p>
        <w:p>
          <w:pPr>
            <w:pStyle w:val="Contents3"/>
            <w:tabs>
              <w:tab w:val="clear" w:pos="8459"/>
              <w:tab w:val="right" w:pos="9026" w:leader="dot"/>
            </w:tabs>
            <w:rPr/>
          </w:pPr>
          <w:hyperlink w:anchor="__RefHeading___Toc4510043_211673320">
            <w:r>
              <w:rPr>
                <w:webHidden/>
                <w:rStyle w:val="IndexLink"/>
                <w:rtl w:val="true"/>
              </w:rPr>
              <w:t>«</w:t>
            </w:r>
            <w:r>
              <w:rPr>
                <w:rStyle w:val="IndexLink"/>
                <w:rtl w:val="true"/>
              </w:rPr>
              <w:t>ن</w:t>
            </w:r>
            <w:r>
              <w:rPr>
                <w:rStyle w:val="IndexLink"/>
                <w:rtl w:val="true"/>
              </w:rPr>
              <w:t>»</w:t>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9_12020"/>
      <w:bookmarkStart w:id="1" w:name="pg519_12020"/>
      <w:bookmarkEnd w:id="1"/>
    </w:p>
    <w:p>
      <w:pPr>
        <w:pStyle w:val="Heading2"/>
        <w:numPr>
          <w:ilvl w:val="1"/>
          <w:numId w:val="1"/>
        </w:numPr>
        <w:rPr/>
      </w:pPr>
      <w:bookmarkStart w:id="2" w:name="pg519_12020"/>
      <w:bookmarkStart w:id="3" w:name="__RefHeading___Toc4509953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فی‌الاعتقادات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حسینی‌میلانی ؛ ترجمه و ویرایش هیئت تحریریه مرکز حقایق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فی‌الاعتقادات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علی الحسینی‌المیلانی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۳۰۴۲۱۷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۱۸۱۲۱۶۵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9955_211673320"/>
      <w:bookmarkStart w:id="6" w:name="_Toc2"/>
      <w:bookmarkEnd w:id="5"/>
      <w:r>
        <w:rPr>
          <w:rtl w:val="true"/>
        </w:rPr>
        <w:t>اشاره</w:t>
      </w:r>
      <w:bookmarkStart w:id="7" w:name="pg519_12026"/>
      <w:bookmarkEnd w:id="6"/>
    </w:p>
    <w:p>
      <w:pPr>
        <w:pStyle w:val="Heading2"/>
        <w:numPr>
          <w:ilvl w:val="1"/>
          <w:numId w:val="1"/>
        </w:numPr>
        <w:rPr/>
      </w:pPr>
      <w:bookmarkStart w:id="8" w:name="__RefHeading___Toc4509957_211673320"/>
      <w:bookmarkStart w:id="9" w:name="_Toc3"/>
      <w:bookmarkEnd w:id="7"/>
      <w:bookmarkEnd w:id="8"/>
      <w:r>
        <w:rPr>
          <w:rtl w:val="true"/>
        </w:rPr>
        <w:t>مقدمه</w:t>
      </w:r>
      <w:bookmarkEnd w:id="9"/>
    </w:p>
    <w:p>
      <w:pPr>
        <w:pStyle w:val="Heading3"/>
        <w:numPr>
          <w:ilvl w:val="2"/>
          <w:numId w:val="1"/>
        </w:numPr>
        <w:rPr/>
      </w:pPr>
      <w:bookmarkStart w:id="10" w:name="__RefHeading___Toc4509959_211673320"/>
      <w:bookmarkStart w:id="11" w:name="_Toc4"/>
      <w:bookmarkEnd w:id="10"/>
      <w:r>
        <w:rPr>
          <w:rtl w:val="true"/>
        </w:rPr>
        <w:t>سرآغاز</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سرآغاز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 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 ـ با توطئه هایی از پیش مهیّا شده ـ 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 های شیطانی، حقایق اسلام را ـ که همچون آفتاب جهان تاب بود ـ 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 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 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 ها، شبهه ها و پندارهای واهی شیاطین و دشمنان اسلام را پاسخ داده و حقیقت را برای همگان آشکار ساخته 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نام سپیده باورانی همچون شیخ مفید، سیّد مرتضی، شیخ طوسی، خواجه نصیر، علاّمه حلّی، قاضی نوراللّه، میر حامد حسین، سیّد شرف الدین، امینی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همچون ستارگانی پرفروز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واقعیّات مکتب اهل بیت علیهم السلام، با زبان و قلم، به بررسی و پاسخ گویی شبهات پرداخته 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 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ترجمه یکی از آثار معظّمٌ له است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 سازد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حقایق اسلامی</w:t>
      </w:r>
      <w:bookmarkStart w:id="12" w:name="pg519_12032"/>
    </w:p>
    <w:p>
      <w:pPr>
        <w:pStyle w:val="Heading3"/>
        <w:numPr>
          <w:ilvl w:val="2"/>
          <w:numId w:val="1"/>
        </w:numPr>
        <w:rPr/>
      </w:pPr>
      <w:bookmarkStart w:id="13" w:name="__RefHeading___Toc4509961_211673320"/>
      <w:bookmarkStart w:id="14" w:name="_Toc5"/>
      <w:bookmarkEnd w:id="12"/>
      <w:bookmarkEnd w:id="13"/>
      <w:r>
        <w:rPr>
          <w:rtl w:val="true"/>
        </w:rPr>
        <w:t>پیش گفتار</w:t>
      </w:r>
      <w:bookmarkEnd w:id="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ونبیّنا محمّد وآله الطیّبین الطّاهرین، ولعنة اللّه علی أعدائهم أجمعین من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 xml:space="preserve">یکی از احادیث معروفی که شیعه و سنّی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منابع بسیاری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کتاب صحیح به سند خود، از جابر بن عبداللّه انصاری این 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تَرَکْتُ فِیکُمْ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گذاشتم که اگر بدان تمسّک</w:t>
      </w:r>
    </w:p>
    <w:p>
      <w:pPr>
        <w:pStyle w:val="BookText"/>
        <w:rPr/>
      </w:pPr>
      <w:r>
        <w:rPr>
          <w:rFonts w:ascii="IRNazanin" w:hAnsi="IRNazanin" w:eastAsia="IRNazanin"/>
          <w:color w:val="111111"/>
          <w:sz w:val="28"/>
          <w:sz w:val="28"/>
          <w:szCs w:val="28"/>
          <w:rtl w:val="true"/>
          <w:lang w:bidi="fa-IR"/>
        </w:rPr>
        <w:t>کنید،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که خاندان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تِرمذی در صحیح خود با سند دیگری از زید بن ارقم نقل می کند که رسول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ما إنْ تَمَسَّکْتُمْ بِهِ لَنْ تَضِلُّوا بَعْدی،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مِنَ السَّماءِ إلَی الأرْضِ، وَعِتْرَتِی أهْلُ بَیْتِی، وَلَنْ یَفْتَرِقَا حَتّی یَرِدَا عَلَیَّ الْحَوْضَ، فَانْظُرُوا کَیْفَ تَخْلُفُونی فِیهِما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راستی که من در میان شما چیزی را به جا می گذارم که اگر بدان چنگ بزنید هرگز بعد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از دیگری باعظمت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ریسمانی آویخته از آسمان به زمین است، و عترت و خاندان من، و این دو هرگز از یکدیگر جدا نمی شوند تا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نمایید که بعد از من در حقّ آن دو چگونه رفتار خواهید داشت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در زمره روایاتی است که از دو صحابی</w:t>
      </w:r>
    </w:p>
    <w:p>
      <w:pPr>
        <w:pStyle w:val="BookText"/>
        <w:rPr/>
      </w:pPr>
      <w:r>
        <w:rPr>
          <w:rFonts w:ascii="IRNazanin" w:hAnsi="IRNazanin" w:eastAsia="IRNazanin"/>
          <w:color w:val="111111"/>
          <w:sz w:val="28"/>
          <w:sz w:val="28"/>
          <w:szCs w:val="28"/>
          <w:rtl w:val="true"/>
          <w:lang w:bidi="fa-IR"/>
        </w:rPr>
        <w:t>پیامبر خدا صلّی اللّه علیه وآله در کتاب صحیح ترمِذی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به این حدیث شریف عمل می شد و با مصادیق صحیحش تطبیق می گردید، هرگز چنین اختلافی بین اُمّت اسلام واقع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فراخوانی و دعوت به وحدت اسلامی و کنار گذاشتن اختلافات موجود میان فرقه های اسلامی، از اموری است که مورد اهتمام اندیشمندان اصلاح گر مسلمان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آنان برای دست یابی به این هدف، راه ها، پیشنهادها و نظریه هایی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حدیث شریف ثقلین بهترین وسیله برای اتّفاق و گرد هم آمدن مسلمانان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حدیث از طرفی مورد پذیرش همه فرقه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مدلول و معنای آن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پژوهشی در این زمینه است که در چهار بخش به بررسی و تحقیق این حدیث شریف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واژگان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راویان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دلالت های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اشکال ها و ایرادهای واهی</w:t>
      </w:r>
      <w:r>
        <w:rPr>
          <w:rFonts w:eastAsia="IRNazanin" w:cs="IRNazanin"/>
          <w:color w:val="111111"/>
          <w:sz w:val="28"/>
          <w:szCs w:val="28"/>
          <w:rtl w:val="true"/>
          <w:lang w:bidi="fa-IR"/>
        </w:rPr>
        <w:t>.</w:t>
      </w:r>
      <w:bookmarkStart w:id="15" w:name="pg519_12038"/>
    </w:p>
    <w:p>
      <w:pPr>
        <w:pStyle w:val="Heading2"/>
        <w:numPr>
          <w:ilvl w:val="1"/>
          <w:numId w:val="1"/>
        </w:numPr>
        <w:rPr/>
      </w:pPr>
      <w:bookmarkStart w:id="16" w:name="__RefHeading___Toc4509963_211673320"/>
      <w:bookmarkStart w:id="17" w:name="_Toc6"/>
      <w:bookmarkEnd w:id="15"/>
      <w:bookmarkEnd w:id="16"/>
      <w:r>
        <w:rPr>
          <w:rtl w:val="true"/>
        </w:rPr>
        <w:t>بخش یکم</w:t>
      </w:r>
      <w:r>
        <w:rPr>
          <w:rtl w:val="true"/>
        </w:rPr>
        <w:t xml:space="preserve">: </w:t>
      </w:r>
      <w:r>
        <w:rPr>
          <w:rtl w:val="true"/>
        </w:rPr>
        <w:t>پژوهشی در واژگان حدیث ثقلین</w:t>
      </w:r>
      <w:bookmarkEnd w:id="17"/>
    </w:p>
    <w:p>
      <w:pPr>
        <w:pStyle w:val="Heading3"/>
        <w:numPr>
          <w:ilvl w:val="2"/>
          <w:numId w:val="1"/>
        </w:numPr>
        <w:rPr/>
      </w:pPr>
      <w:bookmarkStart w:id="18" w:name="__RefHeading___Toc4509965_211673320"/>
      <w:bookmarkStart w:id="19" w:name="_Toc7"/>
      <w:bookmarkEnd w:id="18"/>
      <w:r>
        <w:rPr>
          <w:rtl w:val="true"/>
        </w:rPr>
        <w:t xml:space="preserve">واژه </w:t>
      </w:r>
      <w:r>
        <w:rPr>
          <w:rtl w:val="true"/>
        </w:rPr>
        <w:t>«</w:t>
      </w:r>
      <w:r>
        <w:rPr>
          <w:rtl w:val="true"/>
        </w:rPr>
        <w:t>ثقل</w:t>
      </w:r>
      <w:r>
        <w:rPr>
          <w:rtl w:val="true"/>
        </w:rPr>
        <w:t xml:space="preserve">» </w:t>
      </w:r>
      <w:r>
        <w:rPr>
          <w:rtl w:val="true"/>
        </w:rPr>
        <w:t>از نظر لغوی</w:t>
      </w:r>
      <w:bookmarkEnd w:id="19"/>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پژوهشی در واژگان حدیث ثقلین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w:t>
      </w:r>
    </w:p>
    <w:p>
      <w:pPr>
        <w:pStyle w:val="BookText"/>
        <w:rPr/>
      </w:pPr>
      <w:r>
        <w:rPr>
          <w:rFonts w:ascii="IRNazanin" w:hAnsi="IRNazanin" w:eastAsia="IRNazanin"/>
          <w:color w:val="111111"/>
          <w:sz w:val="28"/>
          <w:sz w:val="28"/>
          <w:szCs w:val="28"/>
          <w:rtl w:val="true"/>
          <w:lang w:bidi="fa-IR"/>
        </w:rPr>
        <w:t xml:space="preserve">این حدیث شریف،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ثَقَلَیْن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 ثَقَل در لغت به معنای متاعی است که مسافر با خود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عدّه ای از محدّثان و لغویان، این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یعنی به کسر ثاء و سکون قاف ـ قرائت کرده اند، که در این صورت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ثِقْل در لغت به معنای بار سنگین و گنج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نظر می رسد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به فتح ثاء و قاف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در کتاب القاموس المحیط می نویسد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متاع و کالای مسافر و نیز هر چیز نفیسی را که پنهان و محفوظش می دارند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از پیامبر خدا صلی اللّه علیه وآله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w:t>
      </w:r>
    </w:p>
    <w:p>
      <w:pPr>
        <w:pStyle w:val="BookText"/>
        <w:rPr/>
      </w:pPr>
      <w:r>
        <w:rPr>
          <w:rFonts w:ascii="Amiri" w:hAnsi="Amiri" w:eastAsia="Amiri" w:cs="Amiri"/>
          <w:color w:val="111111"/>
          <w:sz w:val="28"/>
          <w:sz w:val="28"/>
          <w:szCs w:val="28"/>
          <w:rtl w:val="true"/>
          <w:lang w:bidi="ar-SA"/>
        </w:rPr>
        <w:t>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همین لغت است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این که ما ضبط نخست را بر ضبط دوم ترجیح دادیم به این جهت است که تناسب ضبط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موقعیّتی که این حدیث شریف از رسول خدا صلی اللّه علیه وآله صادر گردیده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مسافری که از شهری به شهر دیگری کوچ می کند ـ به خصوص که هرگز قصد بازگشت به آن شهر را نداشته باشد ـ اسباب و اثاثیه زندگی خود را می برد، و از آن جا که حمل و نقل در آن زمان به سختی و مشقّت انجام می گرفت و انسان نمی توانست تمام لوازم و اثاثیه زندگی را از جایی به جایی ببرد، ناگزیر در هنگام کوچ، به برداشتن گران بهاترین و نفیس ترین دارایی خود اکتفا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حدیث ثقلین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دعیت فأجبت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من فرا خوانده شده ام و به این فراخوانی پاسخ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یوشک أن اُدعی فاُجیب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است که فرا خوانده شده و به آن پاسخ مثبت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این سخنان، از نزدیکی رحلت جانگدازش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وإنّی تارکٌ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باقی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قرار گرفتن آن حضرت در موقعیّت سفر آخرت، اقتضا می کند که عزیزترین و گران بهاترین اشیای خود را که قرآن و عترت است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مقتضای رأفت و لطفی که بر امّت دارد، و از آن جایی که بر ماندگاری این دین حرص میورزد، این گران بهاترین اشیای خود را که در طول حیات پربرکتش، نهایت اعتنا و توجّه به آن ها داشت، در بین امّت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 چه را که به جهت مسافرت باید از این دار فانی با خود ببرد، به جهت رأفت و محبّت بی دریغی که به امّت دارد در بین آن ها باقی گذارده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دو چیز گران بها در بین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این گونه توصیه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تمسّکتم بهما لن تضلّوا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 که به آن ها تمسّک کنید، هرگز گمراه نخواهید شد</w:t>
      </w:r>
      <w:r>
        <w:rPr>
          <w:rFonts w:eastAsia="IRNazanin" w:cs="IRNazanin"/>
          <w:color w:val="111111"/>
          <w:sz w:val="28"/>
          <w:szCs w:val="28"/>
          <w:rtl w:val="true"/>
          <w:lang w:bidi="fa-IR"/>
        </w:rPr>
        <w:t>.</w:t>
      </w:r>
      <w:bookmarkStart w:id="20" w:name="pg519_12041"/>
    </w:p>
    <w:p>
      <w:pPr>
        <w:pStyle w:val="BookText"/>
        <w:rPr/>
      </w:pPr>
      <w:bookmarkEnd w:id="20"/>
      <w:r>
        <w:rPr>
          <w:rFonts w:ascii="IRNazanin" w:hAnsi="IRNazanin" w:eastAsia="IRNazanin"/>
          <w:color w:val="111111"/>
          <w:sz w:val="28"/>
          <w:sz w:val="28"/>
          <w:szCs w:val="28"/>
          <w:rtl w:val="true"/>
          <w:lang w:bidi="fa-IR"/>
        </w:rPr>
        <w:t>از این رو غرض این است که دو گوهر نفیس و گران بها در میان امّت باقی بماند تا امّت پس از آن حضرت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قراین و تناسب های موجود در حدیث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دارد</w:t>
      </w:r>
      <w:r>
        <w:rPr>
          <w:rFonts w:eastAsia="IRNazanin" w:cs="IRNazanin"/>
          <w:color w:val="111111"/>
          <w:sz w:val="28"/>
          <w:szCs w:val="28"/>
          <w:rtl w:val="true"/>
          <w:lang w:bidi="fa-IR"/>
        </w:rPr>
        <w:t>.</w:t>
      </w:r>
    </w:p>
    <w:p>
      <w:pPr>
        <w:pStyle w:val="Heading3"/>
        <w:numPr>
          <w:ilvl w:val="2"/>
          <w:numId w:val="1"/>
        </w:numPr>
        <w:rPr/>
      </w:pPr>
      <w:bookmarkStart w:id="21" w:name="__RefHeading___Toc4509967_211673320"/>
      <w:bookmarkStart w:id="22" w:name="_Toc8"/>
      <w:bookmarkEnd w:id="21"/>
      <w:r>
        <w:rPr>
          <w:rtl w:val="true"/>
        </w:rPr>
        <w:t>بررسی واژگان دیگر</w:t>
      </w:r>
      <w:bookmarkEnd w:id="22"/>
    </w:p>
    <w:p>
      <w:pPr>
        <w:pStyle w:val="BookText"/>
        <w:rPr/>
      </w:pPr>
      <w:r>
        <w:rPr>
          <w:rFonts w:ascii="IRNazanin" w:hAnsi="IRNazanin" w:eastAsia="IRNazanin"/>
          <w:color w:val="111111"/>
          <w:sz w:val="28"/>
          <w:sz w:val="28"/>
          <w:szCs w:val="28"/>
          <w:rtl w:val="true"/>
          <w:lang w:bidi="fa-IR"/>
        </w:rPr>
        <w:t>بررسی واژگان دیگر</w:t>
      </w:r>
    </w:p>
    <w:p>
      <w:pPr>
        <w:pStyle w:val="BookText"/>
        <w:rPr/>
      </w:pPr>
      <w:r>
        <w:rPr>
          <w:rFonts w:ascii="IRNazanin" w:hAnsi="IRNazanin" w:eastAsia="IRNazanin"/>
          <w:color w:val="111111"/>
          <w:sz w:val="28"/>
          <w:sz w:val="28"/>
          <w:szCs w:val="28"/>
          <w:rtl w:val="true"/>
          <w:lang w:bidi="fa-IR"/>
        </w:rPr>
        <w:t>همچنان که ملاحظه نمودید، در نقل نخست این گونه آمده است که پیامبر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إنْ أَخَذْتُمْ بِهِما لَنْ تضلّوا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 بر نقل دوم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إنْ تَمَسَّکْتُمْ بِهِمَا لن تضلّوا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متن در کتاب های دیگری نیز غیر از تِرمذی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تحقیقی که انجام شده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أَخَذْتُمْ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عبارتی که مشتمل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مدارک زیر آمده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احمد بن حنبل، مسند ابن راهویه، طبقات ابن سعد، صحیح تِرمذی، مسند ابی یَعْلی، المعجم الکبیر طبرانی، مصابیح السنّه بغوی، جامع الاصول ابن اثیر و مصادر دیگر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عبد بن حمید، تفسیر الدرّ المنثور، الجامع الصغیر و احیاء المَیْت موجود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با مراجعه به کتاب های لغت درمی یابیم که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تبعیّت و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متن روایات ابن ابی شیبه در کتاب المصنَّف آمده است، به معنای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ادامه نقل واژگان حدیث ثقلین، با نقل دیگری رو به رو می شویم و آن وجود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این حدیث را این گونه نقل می کند که پیامبر خدا صلی اللّه علیه وآله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ترکت فیکم ما لن تضلّوا بعدی إن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من در بین شما چیزی را باقی گذاردم که اگر پس از من به آن تمسّک کردید،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حدیث، لغت عربی و استعمالات فصیح همان معنای تمسّک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شاهد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حدیث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روایتی است که در کتاب های شیعه و سنّی آمده است که امام صادق علیه السلام در تفسیر آیه مبارکه ای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همگی به ریسمان خدا تمسّک کرده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حَبْلُ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همان ریسمان خداوند هستیم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امام صادق علیه السلام در 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تفسیر ثعلبی و الصواعق المحرقه آمده است</w:t>
      </w:r>
      <w:r>
        <w:rPr>
          <w:rStyle w:val="FootnoteAnchor"/>
          <w:rtl w:val="true"/>
        </w:rPr>
        <w:footnoteReference w:id="11"/>
      </w:r>
      <w:r>
        <w:rPr>
          <w:rFonts w:ascii="IRNazanin" w:hAnsi="IRNazanin" w:eastAsia="IRNazanin"/>
          <w:color w:val="111111"/>
          <w:sz w:val="28"/>
          <w:sz w:val="28"/>
          <w:szCs w:val="28"/>
          <w:rtl w:val="true"/>
          <w:lang w:bidi="fa-IR"/>
        </w:rPr>
        <w:t>و آن گاه که به التفسیر الکبیر فخر رازی در ذیل این آیه مبارکه، و نیز به تفسیر الخازن و تفاسیر دیگر مراجعه کنیم،</w:t>
      </w:r>
      <w:bookmarkStart w:id="23" w:name="pg519_12044"/>
    </w:p>
    <w:p>
      <w:pPr>
        <w:pStyle w:val="BookText"/>
        <w:rPr/>
      </w:pPr>
      <w:bookmarkEnd w:id="23"/>
      <w:r>
        <w:rPr>
          <w:rFonts w:ascii="IRNazanin" w:hAnsi="IRNazanin" w:eastAsia="IRNazanin"/>
          <w:color w:val="111111"/>
          <w:sz w:val="28"/>
          <w:sz w:val="28"/>
          <w:szCs w:val="28"/>
          <w:rtl w:val="true"/>
          <w:lang w:bidi="fa-IR"/>
        </w:rPr>
        <w:t>مشاهده خواهیم کرد که آنان در هنگام تفسیر این آیه، حدیث ثقلین را متذکّر می شوند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البته حاکم نیشابوری نیز در المستدرک به سندی صحیح همین گونه نقل کرده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وجوب تبعیّت و پیروی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هیچ تأمّل و نزاعی امامت و خلافت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علی و اهل بیت علیهم السلام خلفای رسول خدا صلی اللّه علیه وآله بعد از آن حضرت می باشند</w:t>
      </w:r>
      <w:r>
        <w:rPr>
          <w:rFonts w:eastAsia="IRNazanin" w:cs="IRNazanin"/>
          <w:color w:val="111111"/>
          <w:sz w:val="28"/>
          <w:szCs w:val="28"/>
          <w:rtl w:val="true"/>
          <w:lang w:bidi="fa-IR"/>
        </w:rPr>
        <w:t>.</w:t>
      </w:r>
    </w:p>
    <w:p>
      <w:pPr>
        <w:pStyle w:val="Heading3"/>
        <w:numPr>
          <w:ilvl w:val="2"/>
          <w:numId w:val="1"/>
        </w:numPr>
        <w:rPr/>
      </w:pPr>
      <w:bookmarkStart w:id="24" w:name="__RefHeading___Toc4509969_211673320"/>
      <w:bookmarkStart w:id="25" w:name="_Toc9"/>
      <w:bookmarkEnd w:id="24"/>
      <w:r>
        <w:rPr>
          <w:rtl w:val="true"/>
        </w:rPr>
        <w:t>نکته ای جالب</w:t>
      </w:r>
      <w:bookmarkEnd w:id="25"/>
    </w:p>
    <w:p>
      <w:pPr>
        <w:pStyle w:val="BookText"/>
        <w:rPr/>
      </w:pPr>
      <w:r>
        <w:rPr>
          <w:rFonts w:ascii="IRNazanin" w:hAnsi="IRNazanin" w:eastAsia="IRNazanin"/>
          <w:color w:val="111111"/>
          <w:sz w:val="28"/>
          <w:sz w:val="28"/>
          <w:szCs w:val="28"/>
          <w:rtl w:val="true"/>
          <w:lang w:bidi="fa-IR"/>
        </w:rPr>
        <w:t>نکته ای جالب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این که در بعضی از متون حدیث ثقلین،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صریح در مدّعای شیعه امامیّه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را احمد بن حنبل در مسند، ابن ابی عاصم در کتاب السنّه و طبرانی در المعجم الکبیر آورده اند</w:t>
      </w:r>
      <w:r>
        <w:rPr>
          <w:rFonts w:eastAsia="IRNazanin" w:cs="IRNazanin"/>
          <w:color w:val="111111"/>
          <w:sz w:val="28"/>
          <w:szCs w:val="28"/>
          <w:rtl w:val="true"/>
          <w:lang w:bidi="fa-IR"/>
        </w:rPr>
        <w:t>.</w:t>
      </w:r>
      <w:r>
        <w:rPr>
          <w:rStyle w:val="FootnoteAnchor"/>
          <w:rtl w:val="true"/>
        </w:rPr>
        <w:footnoteReference w:id="14"/>
      </w:r>
      <w:bookmarkStart w:id="26" w:name="pg519_12045"/>
    </w:p>
    <w:p>
      <w:pPr>
        <w:pStyle w:val="BookText"/>
        <w:rPr/>
      </w:pPr>
      <w:bookmarkEnd w:id="26"/>
      <w:r>
        <w:rPr>
          <w:rFonts w:ascii="IRNazanin" w:hAnsi="IRNazanin" w:eastAsia="IRNazanin"/>
          <w:color w:val="111111"/>
          <w:sz w:val="28"/>
          <w:sz w:val="28"/>
          <w:szCs w:val="28"/>
          <w:rtl w:val="true"/>
          <w:lang w:bidi="fa-IR"/>
        </w:rPr>
        <w:t>حافظ هیثمی، بعد از نقل این حدیث از کتاب المعجم الکبیر طبرانی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رجال سند آن مورد وثوق و اعتماد هستند و جلال الدّین سیوطی نیز پس از نقل روایت، به صحّت سند آن تصریح می نماید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نکته لطیف 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عبدالرؤوف مَناوی مصری، در کتاب فیض القدیر فی شرح الجامع الصّغیر، در شرح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رسول خدا صلی اللّه علیه وآله همان اصحاب کسائی هستند که خداوند متعال هر گونه پلیدی را از آن ها دور کرده و آنان را به طور کامل پاک فرموده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ملاحظه می فرمایید که نتیجه الفاظ مختلف حدیث ثقلین، تعیین امام و خلیفه بعد از رسول خدا صلی اللّه علیه وآله و بیان گر منصب خلافت و امامت خواهد بود</w:t>
      </w:r>
      <w:r>
        <w:rPr>
          <w:rFonts w:eastAsia="IRNazanin" w:cs="IRNazanin"/>
          <w:color w:val="111111"/>
          <w:sz w:val="28"/>
          <w:szCs w:val="28"/>
          <w:rtl w:val="true"/>
          <w:lang w:bidi="fa-IR"/>
        </w:rPr>
        <w:t>.</w:t>
      </w:r>
    </w:p>
    <w:p>
      <w:pPr>
        <w:pStyle w:val="Heading3"/>
        <w:numPr>
          <w:ilvl w:val="2"/>
          <w:numId w:val="1"/>
        </w:numPr>
        <w:rPr/>
      </w:pPr>
      <w:bookmarkStart w:id="27" w:name="__RefHeading___Toc4509971_211673320"/>
      <w:bookmarkStart w:id="28" w:name="_Toc10"/>
      <w:bookmarkEnd w:id="27"/>
      <w:r>
        <w:rPr>
          <w:rtl w:val="true"/>
        </w:rPr>
        <w:t>نتیجه بحث</w:t>
      </w:r>
      <w:bookmarkEnd w:id="28"/>
    </w:p>
    <w:p>
      <w:pPr>
        <w:pStyle w:val="BookText"/>
        <w:rPr/>
      </w:pPr>
      <w:r>
        <w:rPr>
          <w:rFonts w:ascii="IRNazanin" w:hAnsi="IRNazanin" w:eastAsia="IRNazanin"/>
          <w:color w:val="111111"/>
          <w:sz w:val="28"/>
          <w:sz w:val="28"/>
          <w:szCs w:val="28"/>
          <w:rtl w:val="true"/>
          <w:lang w:bidi="fa-IR"/>
        </w:rPr>
        <w:t>نتیجه بحث</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سخن این که حدیث ثقلین گرچه به متن های گوناگون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تمامیِ آن ها مفید یک معنا بوده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این متون، دلالت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صریح تر است</w:t>
      </w:r>
    </w:p>
    <w:p>
      <w:pPr>
        <w:pStyle w:val="BookText"/>
        <w:rPr/>
      </w:pPr>
      <w:r>
        <w:rPr>
          <w:rFonts w:ascii="IRNazanin" w:hAnsi="IRNazanin" w:eastAsia="IRNazanin"/>
          <w:color w:val="111111"/>
          <w:sz w:val="28"/>
          <w:sz w:val="28"/>
          <w:szCs w:val="28"/>
          <w:rtl w:val="true"/>
          <w:lang w:bidi="fa-IR"/>
        </w:rPr>
        <w:t>که هیچ اختلافی در این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متنی در دلالت بر امامت و خلافت از این متن صریح تر است، آن جا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تارک فیکم خلیفتین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تمسّکتم بهما لن تضلّوا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من در بین شما دو جانشین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به آن دو تمسّک کنید،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این جا درمی یابیم که قرآن کریم و روایات صادره از رسول خدا صلی اللّه علیه وآله چگونه یکدیگر را تصدیق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همگی به ریسمان خدا تمسّک کنید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وآله نیز در حدیث ثقلین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تمسّکتم بهما لن تضلّوا بعدی أبداً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چیز گران بها در بین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w:t>
      </w:r>
    </w:p>
    <w:p>
      <w:pPr>
        <w:pStyle w:val="BookText"/>
        <w:rPr/>
      </w:pPr>
      <w:r>
        <w:rPr>
          <w:rFonts w:ascii="IRNazanin" w:hAnsi="IRNazanin" w:eastAsia="IRNazanin"/>
          <w:color w:val="111111"/>
          <w:sz w:val="28"/>
          <w:sz w:val="28"/>
          <w:szCs w:val="28"/>
          <w:rtl w:val="true"/>
          <w:lang w:bidi="fa-IR"/>
        </w:rPr>
        <w:t>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به آن ها تمسّک کنید، هرگز گمراه نخواهید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که قرآن کریم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تمسّک به آن امر می فرماید، رسول خدا صلی اللّه علیه وآله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تمسّک به آن دستور می دهد</w:t>
      </w:r>
      <w:r>
        <w:rPr>
          <w:rFonts w:eastAsia="IRNazanin" w:cs="IRNazanin"/>
          <w:color w:val="111111"/>
          <w:sz w:val="28"/>
          <w:szCs w:val="28"/>
          <w:rtl w:val="true"/>
          <w:lang w:bidi="fa-IR"/>
        </w:rPr>
        <w:t>.</w:t>
      </w:r>
      <w:bookmarkStart w:id="29" w:name="pg519_12050"/>
    </w:p>
    <w:p>
      <w:pPr>
        <w:pStyle w:val="Heading2"/>
        <w:numPr>
          <w:ilvl w:val="1"/>
          <w:numId w:val="1"/>
        </w:numPr>
        <w:rPr/>
      </w:pPr>
      <w:bookmarkStart w:id="30" w:name="__RefHeading___Toc4509973_211673320"/>
      <w:bookmarkStart w:id="31" w:name="_Toc11"/>
      <w:bookmarkEnd w:id="29"/>
      <w:bookmarkEnd w:id="30"/>
      <w:r>
        <w:rPr>
          <w:rtl w:val="true"/>
        </w:rPr>
        <w:t>بخش دوم</w:t>
      </w:r>
      <w:r>
        <w:rPr>
          <w:rtl w:val="true"/>
        </w:rPr>
        <w:t xml:space="preserve">: </w:t>
      </w:r>
      <w:r>
        <w:rPr>
          <w:rtl w:val="true"/>
        </w:rPr>
        <w:t>نگاهی به راویان حدیث ثقلین</w:t>
      </w:r>
      <w:bookmarkEnd w:id="31"/>
    </w:p>
    <w:p>
      <w:pPr>
        <w:pStyle w:val="Heading3"/>
        <w:numPr>
          <w:ilvl w:val="2"/>
          <w:numId w:val="1"/>
        </w:numPr>
        <w:rPr/>
      </w:pPr>
      <w:bookmarkStart w:id="32" w:name="__RefHeading___Toc4509975_211673320"/>
      <w:bookmarkStart w:id="33" w:name="_Toc12"/>
      <w:bookmarkEnd w:id="32"/>
      <w:r>
        <w:rPr>
          <w:rtl w:val="true"/>
        </w:rPr>
        <w:t>راویان حدیث ثقلین</w:t>
      </w:r>
      <w:bookmarkEnd w:id="33"/>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نگاهی به راویان حدیث ثقلین</w:t>
      </w:r>
    </w:p>
    <w:p>
      <w:pPr>
        <w:pStyle w:val="BookText"/>
        <w:rPr/>
      </w:pPr>
      <w:r>
        <w:rPr>
          <w:rFonts w:ascii="IRNazanin" w:hAnsi="IRNazanin" w:eastAsia="IRNazanin"/>
          <w:color w:val="111111"/>
          <w:sz w:val="28"/>
          <w:sz w:val="28"/>
          <w:szCs w:val="28"/>
          <w:rtl w:val="true"/>
          <w:lang w:bidi="fa-IR"/>
        </w:rPr>
        <w:t>راویان حدیث ثقلین</w:t>
      </w:r>
    </w:p>
    <w:p>
      <w:pPr>
        <w:pStyle w:val="BookText"/>
        <w:rPr/>
      </w:pPr>
      <w:r>
        <w:rPr>
          <w:rFonts w:ascii="IRNazanin" w:hAnsi="IRNazanin" w:eastAsia="IRNazanin"/>
          <w:color w:val="111111"/>
          <w:sz w:val="28"/>
          <w:sz w:val="28"/>
          <w:szCs w:val="28"/>
          <w:rtl w:val="true"/>
          <w:lang w:bidi="fa-IR"/>
        </w:rPr>
        <w:t>حدیث معروف و مشهور ثقلین، توسط راویان بسیاری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رسول خدا صلی اللّه علیه وآله، بیش از سی نفر حدیث ثقلین را از آن حضرت نقل کرده اند که ما عدّه ای از آن ها را نام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حسن مجتبی سبط اکبر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سلمان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ابوذر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بن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ابوالهیثم بن تیهان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حذیفة بن الیمان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ابوشرحه ـ یا ابو سریحه ـ حذیفة بن اُسَیْد</w:t>
      </w:r>
      <w:r>
        <w:rPr>
          <w:rFonts w:eastAsia="IRNazanin" w:cs="IRNazanin"/>
          <w:color w:val="111111"/>
          <w:sz w:val="28"/>
          <w:szCs w:val="28"/>
          <w:rtl w:val="true"/>
          <w:lang w:bidi="fa-IR"/>
        </w:rPr>
        <w:t>;</w:t>
      </w:r>
      <w:bookmarkStart w:id="34" w:name="pg519_12051"/>
    </w:p>
    <w:p>
      <w:pPr>
        <w:pStyle w:val="BookText"/>
        <w:rPr/>
      </w:pPr>
      <w:bookmarkEnd w:id="34"/>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ابوسعید خُدْری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خزیمة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زید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عبدالرّحمان بن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ابوهریره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بن ابی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ابوایّوب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عمرو بن 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فاطمه زهرا علیها السلام، پاره تن رسول خدا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 سَلَمه، امّ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 هانی، خواهر امیرالمؤمنین علیه السلام</w:t>
      </w:r>
      <w:r>
        <w:rPr>
          <w:rFonts w:eastAsia="IRNazanin" w:cs="IRNazanin"/>
          <w:color w:val="111111"/>
          <w:sz w:val="28"/>
          <w:szCs w:val="28"/>
          <w:rtl w:val="true"/>
          <w:lang w:bidi="fa-IR"/>
        </w:rPr>
        <w:t>.</w:t>
      </w:r>
    </w:p>
    <w:p>
      <w:pPr>
        <w:pStyle w:val="Heading3"/>
        <w:numPr>
          <w:ilvl w:val="2"/>
          <w:numId w:val="1"/>
        </w:numPr>
        <w:rPr/>
      </w:pPr>
      <w:bookmarkStart w:id="35" w:name="__RefHeading___Toc4509977_211673320"/>
      <w:bookmarkStart w:id="36" w:name="_Toc13"/>
      <w:bookmarkEnd w:id="35"/>
      <w:r>
        <w:rPr>
          <w:rtl w:val="true"/>
        </w:rPr>
        <w:t>حدیث ثقلین به روایت پیشوایان مشهور اهل تسنّن</w:t>
      </w:r>
      <w:bookmarkEnd w:id="36"/>
    </w:p>
    <w:p>
      <w:pPr>
        <w:pStyle w:val="BookText"/>
        <w:rPr/>
      </w:pPr>
      <w:r>
        <w:rPr>
          <w:rFonts w:ascii="IRNazanin" w:hAnsi="IRNazanin" w:eastAsia="IRNazanin"/>
          <w:color w:val="111111"/>
          <w:sz w:val="28"/>
          <w:sz w:val="28"/>
          <w:szCs w:val="28"/>
          <w:rtl w:val="true"/>
          <w:lang w:bidi="fa-IR"/>
        </w:rPr>
        <w:t>حدیث ثقلین به روایت پیشوایان مشهور اهل تسنّن</w:t>
      </w:r>
    </w:p>
    <w:p>
      <w:pPr>
        <w:pStyle w:val="BookText"/>
        <w:rPr/>
      </w:pPr>
      <w:r>
        <w:rPr>
          <w:rFonts w:ascii="IRNazanin" w:hAnsi="IRNazanin" w:eastAsia="IRNazanin"/>
          <w:color w:val="111111"/>
          <w:sz w:val="28"/>
          <w:sz w:val="28"/>
          <w:szCs w:val="28"/>
          <w:rtl w:val="true"/>
          <w:lang w:bidi="fa-IR"/>
        </w:rPr>
        <w:t>البتّه در طول قرون متمادی، صدها نفر از مشاهیر، مفسّران، محدّثان، مورّخان و راوی شناسان اهل تسنّن، حدیث ثقلین را به اسانید خود از اصحاب رسول خدا صلی اللّه علیه وآله نقل کرده اند که به نام پنجاه نفر از آنان اکتفا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سعید بن مسروق ثوری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سلیمان بن مهران اعمش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اسحاق، نویسنده 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سعد، نویسنده الطبقات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ابوبکر ابن ابی شیبه، نویسنده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راهویه، نویسنده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بن حُمید، نگارنده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بن حَجّاج قُشیری، نگارنده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ماجه قزوینی، نگارنده سنن المصطفی، یکی از صحاح ششگانه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ابوداوود سجستانی، نگارنده السّنن، یکی از صحاح ششگانه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تِرمذی، نگارنده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ابی عاصم، نگارنده کتاب السنّه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ابوبکر بزّار، نگارنده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نَسائی، نگارنده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ابویعلی موصلی، نگارنده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جریر طبری، نویسنده تاریخ و تفسیر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ابوالقاسم طبرانی، نویسنده المعجم الکبیر، المعجم الأوسط</w:t>
      </w:r>
    </w:p>
    <w:p>
      <w:pPr>
        <w:pStyle w:val="BookText"/>
        <w:rPr/>
      </w:pPr>
      <w:r>
        <w:rPr>
          <w:rFonts w:ascii="IRNazanin" w:hAnsi="IRNazanin" w:eastAsia="IRNazanin"/>
          <w:color w:val="111111"/>
          <w:sz w:val="28"/>
          <w:sz w:val="28"/>
          <w:szCs w:val="28"/>
          <w:rtl w:val="true"/>
          <w:lang w:bidi="fa-IR"/>
        </w:rPr>
        <w:t>و المعجم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ابوالحسن دارقُطْنی بغدادی، پیشوای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حاکم نیشابوری، نگارنده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 نعیم اصفهانی، نویسنده کتاب های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ابوبکر بیهقی، نگارنده السنن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عبدالبرّ، نگارنده الاستیعاب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خطیب بغدادی، نگارنده تاریخ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بغوی، نویسنده مصابیح السنّه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رزین عبدری، نویسنده الجمع بین الصحاح الستّه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قاضی عیاض، نویسنده الشفاء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عساکر دمشقی، نویسنده تاریخ مدینة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اثیر جَزَری، نویسنده اُسد الغابه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فخر رازی، نویسنده التفسیر الکبیر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ضیاء مَقْدِسی، نویسنده المختاره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زکریّا نَوَوی، شارح صحیح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ابوالحَجّاج مِزّی، نگارنده تهذیب الکمال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شمس الدّین ذهبی، نگارنده کتاب های معروف</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کثیر دمشقی، نگارنده تفسیر و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نورالدّین هیثمی، نگارنده 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جلال الدّین سیوطی، نگارنده کتاب های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شهاب الدّین قسطلانی، شارح صحیح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شمس الدّین صالحی دمشقی، شاگرد جلال الدّین سیوطی، نویسنده سبل الهُدی والرشاد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عسقلانی، نگارنده کتاب های معروف و معتبر نزد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شمس الدّین ابن طولون 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شهاب الدّین ابن حجر مکّی، نویسنده الصواعق المحرقه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متّقی هندی، نگارنده کنز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ملاّ علی قاری هروی، نویسنده مرقاة المفاتیح فی شرح مشکاة المصابیح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عبدالرؤوف مَناوی، نویسنده فیض القدیر فی شرح الجامع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حلبی، نویسنده السیرة الحلبیّه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زینی دَحْلان، نگارنده السیرة الدحلانیّه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منصور علی ناصف، نگارنده التاج الجامع للاصول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یوسف نبهانی، نویسنده کتاب های متعدد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مبارک پوری هندی، شارح صحیح تِرمذی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اینان پنجاه تن از مشاهیر اهل تسنّن بودند که در قرون مختلف و متمادی حدیث ثقلین را روایت کرده اند و این تعداد، حدود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شریف از بزرگان و مشاهیر آن هاست</w:t>
      </w:r>
      <w:r>
        <w:rPr>
          <w:rFonts w:eastAsia="IRNazanin" w:cs="IRNazanin"/>
          <w:color w:val="111111"/>
          <w:sz w:val="28"/>
          <w:szCs w:val="28"/>
          <w:rtl w:val="true"/>
          <w:lang w:bidi="fa-IR"/>
        </w:rPr>
        <w:t>.</w:t>
      </w:r>
      <w:bookmarkStart w:id="37" w:name="pg519_12058"/>
    </w:p>
    <w:p>
      <w:pPr>
        <w:pStyle w:val="Heading2"/>
        <w:numPr>
          <w:ilvl w:val="1"/>
          <w:numId w:val="1"/>
        </w:numPr>
        <w:rPr/>
      </w:pPr>
      <w:bookmarkStart w:id="38" w:name="__RefHeading___Toc4509979_211673320"/>
      <w:bookmarkStart w:id="39" w:name="_Toc14"/>
      <w:bookmarkEnd w:id="37"/>
      <w:bookmarkEnd w:id="38"/>
      <w:r>
        <w:rPr>
          <w:rtl w:val="true"/>
        </w:rPr>
        <w:t>بخش سوم</w:t>
      </w:r>
      <w:r>
        <w:rPr>
          <w:rtl w:val="true"/>
        </w:rPr>
        <w:t xml:space="preserve">: </w:t>
      </w:r>
      <w:r>
        <w:rPr>
          <w:rtl w:val="true"/>
        </w:rPr>
        <w:t>بررسی دلالت های حدیث ثقلین</w:t>
      </w:r>
      <w:bookmarkEnd w:id="39"/>
    </w:p>
    <w:p>
      <w:pPr>
        <w:pStyle w:val="Heading3"/>
        <w:numPr>
          <w:ilvl w:val="2"/>
          <w:numId w:val="1"/>
        </w:numPr>
        <w:rPr/>
      </w:pPr>
      <w:bookmarkStart w:id="40" w:name="__RefHeading___Toc4509981_211673320"/>
      <w:bookmarkStart w:id="41" w:name="_Toc15"/>
      <w:bookmarkEnd w:id="40"/>
      <w:r>
        <w:rPr>
          <w:rtl w:val="true"/>
        </w:rPr>
        <w:t>حدیث ثقلین بیان گر امامت و خلافت</w:t>
      </w:r>
      <w:bookmarkEnd w:id="41"/>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بررسی دلالت های حدیث ثقلین حدیث ثقلین بیان گر امامت و خلافت</w:t>
      </w:r>
    </w:p>
    <w:p>
      <w:pPr>
        <w:pStyle w:val="BookText"/>
        <w:rPr/>
      </w:pPr>
      <w:r>
        <w:rPr>
          <w:rFonts w:ascii="IRNazanin" w:hAnsi="IRNazanin" w:eastAsia="IRNazanin"/>
          <w:color w:val="111111"/>
          <w:sz w:val="28"/>
          <w:sz w:val="28"/>
          <w:szCs w:val="28"/>
          <w:rtl w:val="true"/>
          <w:lang w:bidi="fa-IR"/>
        </w:rPr>
        <w:t xml:space="preserve">ما پیش تر ـ به طور اجمال ـ متن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کردیم و روشن شد که این حدیث شریف، بیان گر خلافت و امامت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بیان شد که این حدیث شریف به جهت وجود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امامت و خلافت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 واژگانی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از این قبیل بدین گونه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الفاظ دلالت بر وجوب تبعیّت، پیروی و اطاعت مطلق و بدون قید و شرط می نمایند، ناگزیر مفاد حدیث به دلالت التزامی بیان گر امامت و خلافت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شکّی نیست که بین اطاعت مطلق و امامت و خلافت، تلازم و همبستگی تامّ و غیر قابل انکار وجود دارد</w:t>
      </w:r>
      <w:r>
        <w:rPr>
          <w:rFonts w:eastAsia="IRNazanin" w:cs="IRNazanin"/>
          <w:color w:val="111111"/>
          <w:sz w:val="28"/>
          <w:szCs w:val="28"/>
          <w:rtl w:val="true"/>
          <w:lang w:bidi="fa-IR"/>
        </w:rPr>
        <w:t>.</w:t>
      </w:r>
      <w:bookmarkStart w:id="42" w:name="pg519_12059"/>
    </w:p>
    <w:p>
      <w:pPr>
        <w:pStyle w:val="BookText"/>
        <w:rPr/>
      </w:pPr>
      <w:bookmarkEnd w:id="42"/>
      <w:r>
        <w:rPr>
          <w:rFonts w:ascii="IRNazanin" w:hAnsi="IRNazanin" w:eastAsia="IRNazanin"/>
          <w:color w:val="111111"/>
          <w:sz w:val="28"/>
          <w:sz w:val="28"/>
          <w:szCs w:val="28"/>
          <w:rtl w:val="true"/>
          <w:lang w:bidi="fa-IR"/>
        </w:rPr>
        <w:t xml:space="preserve">برای تثبیت آن چه بیان شد، می توان به بیانات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و مشاهیر اهل تسنّن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در فیض القدیر فی شرح جامع الصغیر، ملاّ علی قاری در المرقاة فی شرح المشکاة، و قاضی عیاض در نسیم الریاض و کتاب 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المواهب اللَّدُنّیّه، السراج المنیر فی شرح الجامع الصغیر، الصواعق المحرقه، جواهر العقدین و منابعی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نگارندگان این آثار، پس از شرح حدیث ثقلین تصریح نموده اند که طبق این حدیث پیامبر خدا صلی اللّه علیه وآله مردم را به بهره بردن از هدایت های اهل بیت علیهم السلام، فراگیری از دانش آنان و پیروی از آن ها برانگیخت و به این امور دستور داد</w:t>
      </w:r>
      <w:r>
        <w:rPr>
          <w:rFonts w:eastAsia="IRNazanin" w:cs="IRNazanin"/>
          <w:color w:val="111111"/>
          <w:sz w:val="28"/>
          <w:szCs w:val="28"/>
          <w:rtl w:val="true"/>
          <w:lang w:bidi="fa-IR"/>
        </w:rPr>
        <w:t>.</w:t>
      </w:r>
    </w:p>
    <w:p>
      <w:pPr>
        <w:pStyle w:val="Heading3"/>
        <w:numPr>
          <w:ilvl w:val="2"/>
          <w:numId w:val="1"/>
        </w:numPr>
        <w:rPr/>
      </w:pPr>
      <w:bookmarkStart w:id="43" w:name="__RefHeading___Toc4509983_211673320"/>
      <w:bookmarkStart w:id="44" w:name="_Toc16"/>
      <w:bookmarkEnd w:id="43"/>
      <w:r>
        <w:rPr>
          <w:rtl w:val="true"/>
        </w:rPr>
        <w:t>دیدگاه بزرگان اهل سنّت در دلالت حدیث</w:t>
      </w:r>
      <w:bookmarkEnd w:id="44"/>
    </w:p>
    <w:p>
      <w:pPr>
        <w:pStyle w:val="BookText"/>
        <w:rPr/>
      </w:pPr>
      <w:r>
        <w:rPr>
          <w:rFonts w:ascii="IRNazanin" w:hAnsi="IRNazanin" w:eastAsia="IRNazanin"/>
          <w:color w:val="111111"/>
          <w:sz w:val="28"/>
          <w:sz w:val="28"/>
          <w:szCs w:val="28"/>
          <w:rtl w:val="true"/>
          <w:lang w:bidi="fa-IR"/>
        </w:rPr>
        <w:t>دیدگاه بزرگان اهل سنّت در دلالت حدیث</w:t>
      </w:r>
    </w:p>
    <w:p>
      <w:pPr>
        <w:pStyle w:val="BookText"/>
        <w:rPr/>
      </w:pPr>
      <w:r>
        <w:rPr>
          <w:rFonts w:ascii="IRNazanin" w:hAnsi="IRNazanin" w:eastAsia="IRNazanin"/>
          <w:color w:val="111111"/>
          <w:sz w:val="28"/>
          <w:sz w:val="28"/>
          <w:szCs w:val="28"/>
          <w:rtl w:val="true"/>
          <w:lang w:bidi="fa-IR"/>
        </w:rPr>
        <w:t>همان گونه که بیان شد، بزرگان اهل تسنّن در کتاب های خود، دلالت حدیث ثقلین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کلام چند تن از آنان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می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به صراحت و بدون هیچ گونه ابهامی دلالت دارد بر این که قرآن و عترت علیهم السلام به سان دو فرزندی هستند که با یکدیگر زاده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آنان را در بین امّت گذاشته و به</w:t>
      </w:r>
    </w:p>
    <w:p>
      <w:pPr>
        <w:pStyle w:val="BookText"/>
        <w:rPr/>
      </w:pPr>
      <w:r>
        <w:rPr>
          <w:rFonts w:ascii="IRNazanin" w:hAnsi="IRNazanin" w:eastAsia="IRNazanin"/>
          <w:color w:val="111111"/>
          <w:sz w:val="28"/>
          <w:sz w:val="28"/>
          <w:szCs w:val="28"/>
          <w:rtl w:val="true"/>
          <w:lang w:bidi="fa-IR"/>
        </w:rPr>
        <w:t>آن ها توصیه فرموده که با آن دو به نیکی رفتار نمایند و حقّ آن دو را بر خودشان مقدّم کرده و در امور دین شان به آن دو تمسّک جویند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ملاّ علی قاری در شرح حدیث شریف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تمسّک به عترت علیهم السلام، همان دوستی آنان و هدایت یافتن به راه، روش و دستورات آنان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زرقانی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محقّقین اهل تسنّن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حدیث ثقلین، سفارش و وصیت خود را تأکید و تقویت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بمَ تخلفونی فیهما بعد وفاتی؟ هل تتّبعونهما فتسرّونی أو لا، فتسیئونی؟</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پس از من چگونه این دو را پاس می دارید؟ آیا از آن دو تبعیّت و پیروی می کنید و موجبات خشنودی مرا فراهم می آورید، یا از راه و روش این دو گوهر گران بها روی برتافته و با این عمل مرا اندوهناک می سازید؟</w:t>
      </w:r>
      <w:bookmarkStart w:id="45" w:name="pg519_12061"/>
    </w:p>
    <w:p>
      <w:pPr>
        <w:pStyle w:val="Heading3"/>
        <w:numPr>
          <w:ilvl w:val="2"/>
          <w:numId w:val="1"/>
        </w:numPr>
        <w:rPr/>
      </w:pPr>
      <w:bookmarkStart w:id="46" w:name="__RefHeading___Toc4509985_211673320"/>
      <w:bookmarkStart w:id="47" w:name="_Toc17"/>
      <w:bookmarkEnd w:id="45"/>
      <w:bookmarkEnd w:id="46"/>
      <w:r>
        <w:rPr>
          <w:rtl w:val="true"/>
        </w:rPr>
        <w:t>حدیث ثقلین بیان گر اعلمیّت اهل بیت علیهم السلام</w:t>
      </w:r>
      <w:bookmarkEnd w:id="47"/>
    </w:p>
    <w:p>
      <w:pPr>
        <w:pStyle w:val="BookText"/>
        <w:rPr/>
      </w:pPr>
      <w:r>
        <w:rPr>
          <w:rFonts w:ascii="IRNazanin" w:hAnsi="IRNazanin" w:eastAsia="IRNazanin"/>
          <w:color w:val="111111"/>
          <w:sz w:val="28"/>
          <w:sz w:val="28"/>
          <w:szCs w:val="28"/>
          <w:rtl w:val="true"/>
          <w:lang w:bidi="fa-IR"/>
        </w:rPr>
        <w:t>حدیث ثقلین بیان گر اعلمیّت اهل بیت علیهم السلام</w:t>
      </w:r>
    </w:p>
    <w:p>
      <w:pPr>
        <w:pStyle w:val="BookText"/>
        <w:rPr/>
      </w:pPr>
      <w:r>
        <w:rPr>
          <w:rFonts w:ascii="IRNazanin" w:hAnsi="IRNazanin" w:eastAsia="IRNazanin"/>
          <w:color w:val="111111"/>
          <w:sz w:val="28"/>
          <w:sz w:val="28"/>
          <w:szCs w:val="28"/>
          <w:rtl w:val="true"/>
          <w:lang w:bidi="fa-IR"/>
        </w:rPr>
        <w:t xml:space="preserve">ابن حجر مکّی پیرامون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با این فرمایش، امّت را به اقتدا، تمسّک و فراگیری از علم سرشار این دو منبع دانش فرمان می دهند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از این رهگذر، یکی از اموری را که حدیث ثقلین افاده می کند، وجوب تعلّم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نتیجه گرفت که حدیث ثقلین، بر اعلمیّت اهل بیت علیهم السلام دلالت می نماید، و اعلمیّت نیز به مورد خاصّی و ظرف مخصوصی مقیّد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 اعلمیّت مطلق است و اعلمیّت مطلق، مستلزم افضلیّت و برتری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افضلیّت و برتری، مستلزم امامت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اصحاب پس از رسول خدا صلی اللّه علیه وآله مأمورند که در مسایل علمی و دینی به خاندان نبوّت علیهم السلام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مأمور به تبعیّت، پیروی و اطاعت از آنان می باشند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بعضی از متونی که بزرگان محدّثان عامّه</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المعجم الکبیر،</w:t>
      </w:r>
      <w:r>
        <w:rPr>
          <w:rStyle w:val="FootnoteAnchor"/>
          <w:rtl w:val="true"/>
        </w:rPr>
        <w:footnoteReference w:id="22"/>
      </w:r>
      <w:r>
        <w:rPr>
          <w:rFonts w:ascii="IRNazanin" w:hAnsi="IRNazanin" w:eastAsia="IRNazanin"/>
          <w:color w:val="111111"/>
          <w:sz w:val="28"/>
          <w:sz w:val="28"/>
          <w:szCs w:val="28"/>
          <w:rtl w:val="true"/>
          <w:lang w:bidi="fa-IR"/>
        </w:rPr>
        <w:t>هیثمی در مجمع الزوائد،</w:t>
      </w:r>
      <w:r>
        <w:rPr>
          <w:rStyle w:val="FootnoteAnchor"/>
          <w:rtl w:val="true"/>
        </w:rPr>
        <w:footnoteReference w:id="23"/>
      </w:r>
      <w:r>
        <w:rPr>
          <w:rFonts w:ascii="Amiri" w:hAnsi="Amiri" w:eastAsia="Amiri" w:cs="Amiri"/>
          <w:color w:val="111111"/>
          <w:sz w:val="28"/>
          <w:sz w:val="28"/>
          <w:szCs w:val="28"/>
          <w:rtl w:val="true"/>
          <w:lang w:bidi="ar-SA"/>
        </w:rPr>
        <w:t>ابن اثیر جَزَری در اُسد الغابه</w:t>
      </w:r>
      <w:r>
        <w:rPr>
          <w:rStyle w:val="FootnoteAnchor"/>
          <w:rtl w:val="true"/>
        </w:rPr>
        <w:footnoteReference w:id="24"/>
      </w:r>
      <w:r>
        <w:rPr>
          <w:rFonts w:ascii="IRNazanin" w:hAnsi="IRNazanin" w:eastAsia="IRNazanin"/>
          <w:color w:val="111111"/>
          <w:sz w:val="28"/>
          <w:sz w:val="28"/>
          <w:szCs w:val="28"/>
          <w:rtl w:val="true"/>
          <w:lang w:bidi="fa-IR"/>
        </w:rPr>
        <w:t>و ابن حجر مکّی در الصواعق المحرقه</w:t>
      </w:r>
      <w:r>
        <w:rPr>
          <w:rStyle w:val="FootnoteAnchor"/>
          <w:rtl w:val="true"/>
        </w:rPr>
        <w:footnoteReference w:id="25"/>
      </w:r>
      <w:r>
        <w:rPr>
          <w:rFonts w:ascii="IRNazanin" w:hAnsi="IRNazanin" w:eastAsia="IRNazanin"/>
          <w:color w:val="111111"/>
          <w:sz w:val="28"/>
          <w:sz w:val="28"/>
          <w:szCs w:val="28"/>
          <w:rtl w:val="true"/>
          <w:lang w:bidi="fa-IR"/>
        </w:rPr>
        <w:t>نقل کرده اند، به این موضوع تصریح شده است که رسول خدا صلّی اللّه علیه وآله پس از آن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تمسّکتم بهما لن تضلّوا بعدی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تقدّموهما فتهلکوا، ولا تقصّروا عنهما فتهلکوا، ولا تعلّموهم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کتاب و عترت علیهم السلام پیشی نگیرید که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آن دو کوتاهی نکنید که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عترتم چیزی نیاموزید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آنان از شما داناترند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آن چه را که نتیجه گرفتیم، مورد تصریح بزرگان اهل سنّت و شارحان حدیث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ملاّ علی</w:t>
      </w:r>
    </w:p>
    <w:p>
      <w:pPr>
        <w:pStyle w:val="BookText"/>
        <w:rPr/>
      </w:pPr>
      <w:r>
        <w:rPr>
          <w:rFonts w:ascii="IRNazanin" w:hAnsi="IRNazanin" w:eastAsia="IRNazanin"/>
          <w:color w:val="111111"/>
          <w:sz w:val="28"/>
          <w:sz w:val="28"/>
          <w:szCs w:val="28"/>
          <w:rtl w:val="true"/>
          <w:lang w:bidi="fa-IR"/>
        </w:rPr>
        <w:t>قاری در کتاب مرقاة المفاتیح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غالب موارد عرفی، افراد نزدیک تر به صاحب خانه، از حالات و خصوصیّات او بهتر آگاهی دارند تا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عترت، دانشمندان و عالمان از خاندان نبوّت می باشند که بر راه و روش رسول خدا صلی اللّه علیه وآله اطّلاع کامل دارند، و دانش و حکمت آن بزرگوار نزد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ها قرین و عِدل کتاب خدای سبحان 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ویُعَلِّمُهُمُ الکِتَابَ وَالْحِکْمَةَ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آنان کتاب و حکمت را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مکّی نیز در کتاب الصواعق المحرقه، بعد از نقل حدیث ثقلین چنین می 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حضرت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تقدّموهم فتهلکوا ولا تقصروا عنهم فتهلکوا ولا 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نگیرید که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آنان کوتاهی نکنید که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به آنان نیاموزید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bookmarkStart w:id="48" w:name="pg519_12064"/>
    </w:p>
    <w:p>
      <w:pPr>
        <w:pStyle w:val="BookText"/>
        <w:rPr/>
      </w:pPr>
      <w:bookmarkEnd w:id="48"/>
      <w:r>
        <w:rPr>
          <w:rFonts w:ascii="IRNazanin" w:hAnsi="IRNazanin" w:eastAsia="IRNazanin"/>
          <w:color w:val="111111"/>
          <w:sz w:val="28"/>
          <w:sz w:val="28"/>
          <w:szCs w:val="28"/>
          <w:rtl w:val="true"/>
          <w:lang w:bidi="fa-IR"/>
        </w:rPr>
        <w:t>است بر این که در میان خانواده خاصّ رسول خدا صلّی اللّه علیه وآله، هر که اهلیّت و شایستگی مراتب عالی و قدرت تأمین خواسته های دینی مردم را داراست بر دیگری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آن فراز که دلالت بر وجوب تعلّم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بیان گر امامت خاندان نبوّت علیهم السلام و تقدّم آنان بر دیگران است، که این نیز از اموری است که می توان برای اثبات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w:t>
      </w:r>
      <w:r>
        <w:rPr>
          <w:rFonts w:eastAsia="IRNazanin" w:cs="IRNazanin"/>
          <w:color w:val="111111"/>
          <w:sz w:val="28"/>
          <w:szCs w:val="28"/>
          <w:rtl w:val="true"/>
          <w:lang w:bidi="fa-IR"/>
        </w:rPr>
        <w:t>.</w:t>
      </w:r>
    </w:p>
    <w:p>
      <w:pPr>
        <w:pStyle w:val="Heading3"/>
        <w:numPr>
          <w:ilvl w:val="2"/>
          <w:numId w:val="1"/>
        </w:numPr>
        <w:rPr/>
      </w:pPr>
      <w:bookmarkStart w:id="49" w:name="__RefHeading___Toc4509987_211673320"/>
      <w:bookmarkStart w:id="50" w:name="_Toc18"/>
      <w:bookmarkEnd w:id="49"/>
      <w:r>
        <w:rPr>
          <w:rtl w:val="true"/>
        </w:rPr>
        <w:t>حدیث ثقلین بیان گر عصمت اهل بیت علیهم السلام</w:t>
      </w:r>
      <w:bookmarkEnd w:id="50"/>
    </w:p>
    <w:p>
      <w:pPr>
        <w:pStyle w:val="BookText"/>
        <w:rPr/>
      </w:pPr>
      <w:r>
        <w:rPr>
          <w:rFonts w:ascii="IRNazanin" w:hAnsi="IRNazanin" w:eastAsia="IRNazanin"/>
          <w:color w:val="111111"/>
          <w:sz w:val="28"/>
          <w:sz w:val="28"/>
          <w:szCs w:val="28"/>
          <w:rtl w:val="true"/>
          <w:lang w:bidi="fa-IR"/>
        </w:rPr>
        <w:t>حدیث ثقلین بیان گر عصمت اهل بیت علیهم السلام</w:t>
      </w:r>
    </w:p>
    <w:p>
      <w:pPr>
        <w:pStyle w:val="BookText"/>
        <w:rPr/>
      </w:pPr>
      <w:r>
        <w:rPr>
          <w:rFonts w:ascii="IRNazanin" w:hAnsi="IRNazanin" w:eastAsia="IRNazanin"/>
          <w:color w:val="111111"/>
          <w:sz w:val="28"/>
          <w:sz w:val="28"/>
          <w:szCs w:val="28"/>
          <w:rtl w:val="true"/>
          <w:lang w:bidi="fa-IR"/>
        </w:rPr>
        <w:t xml:space="preserve">همان طور که پیش تر نیز اشاره شد،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 و همدوش قرآن کریم قرار داده اند که از این رهگذر، این حدیث بر دو نکته اساسی دلالت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عصمت 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امامی از اهل بیت علیهم السلام در تمام زمان 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بیان که آن امام صلاحیّت برای امامت و خلافت و جانشینی رسول خدا صلی اللّه علیه وآله داشته و پیشوا و رهبر مردم باشد، که تمامی افراد امّت، بتوانند در اموری دینی و امور مورد نیاز خود را از او فرا گیرند و تا قرآن باقی و موجود است، ناگزیر چنین امامی از اهل بیت علیهم السلام نیز در کنار قرآن خواهد بود</w:t>
      </w:r>
      <w:r>
        <w:rPr>
          <w:rFonts w:eastAsia="IRNazanin" w:cs="IRNazanin"/>
          <w:color w:val="111111"/>
          <w:sz w:val="28"/>
          <w:szCs w:val="28"/>
          <w:rtl w:val="true"/>
          <w:lang w:bidi="fa-IR"/>
        </w:rPr>
        <w:t>.</w:t>
      </w:r>
      <w:bookmarkStart w:id="51" w:name="pg519_12065"/>
    </w:p>
    <w:p>
      <w:pPr>
        <w:pStyle w:val="BookText"/>
        <w:rPr/>
      </w:pPr>
      <w:bookmarkEnd w:id="51"/>
      <w:r>
        <w:rPr>
          <w:rFonts w:ascii="IRNazanin" w:hAnsi="IRNazanin" w:eastAsia="IRNazanin"/>
          <w:color w:val="111111"/>
          <w:sz w:val="28"/>
          <w:sz w:val="28"/>
          <w:szCs w:val="28"/>
          <w:rtl w:val="true"/>
          <w:lang w:bidi="fa-IR"/>
        </w:rPr>
        <w:t>البتّه بحث از عصمت، و نیز بحث از امامت سایر ائمّه علیهم السلام ـ غیر از امیرالمؤمنین علیه السلام ـ و این که باید همراه قرآن امامی باشد که اهلیّت تصدّی منصب رسول خدا صلی اللّه علیه وآله را در میان امّت داشته باشد، هر یک پژوهش جداگانه و مبسوطی را می طلبد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52" w:name="__RefHeading___Toc4509989_211673320"/>
      <w:bookmarkStart w:id="53" w:name="_Toc19"/>
      <w:bookmarkEnd w:id="52"/>
      <w:r>
        <w:rPr>
          <w:rtl w:val="true"/>
        </w:rPr>
        <w:t>اقتران حدیث ثقلین با احادیث دیگر</w:t>
      </w:r>
      <w:bookmarkEnd w:id="53"/>
    </w:p>
    <w:p>
      <w:pPr>
        <w:pStyle w:val="BookText"/>
        <w:rPr/>
      </w:pPr>
      <w:r>
        <w:rPr>
          <w:rFonts w:ascii="IRNazanin" w:hAnsi="IRNazanin" w:eastAsia="IRNazanin"/>
          <w:color w:val="111111"/>
          <w:sz w:val="28"/>
          <w:sz w:val="28"/>
          <w:szCs w:val="28"/>
          <w:rtl w:val="true"/>
          <w:lang w:bidi="fa-IR"/>
        </w:rPr>
        <w:t>اقتران حدیث ثقلین با احادیث دیگر</w:t>
      </w:r>
    </w:p>
    <w:p>
      <w:pPr>
        <w:pStyle w:val="BookText"/>
        <w:rPr/>
      </w:pPr>
      <w:r>
        <w:rPr>
          <w:rFonts w:ascii="IRNazanin" w:hAnsi="IRNazanin" w:eastAsia="IRNazanin"/>
          <w:color w:val="111111"/>
          <w:sz w:val="28"/>
          <w:sz w:val="28"/>
          <w:szCs w:val="28"/>
          <w:rtl w:val="true"/>
          <w:lang w:bidi="fa-IR"/>
        </w:rPr>
        <w:t xml:space="preserve">اکنون برای کامل شدن بحث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مطالبی اشاره می 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توأم با احادیثی وارد شده است که آن احادیث به طور جداگانه از نظر سند متواتر بوده و دلالتشان بر امامت امیرالمؤمنین علیه السلام بسیار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بعضی از متون، بر امامت و خلافت بلافصل آن بزرگوار تصریح دارد و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احادیث ـ به قرینه وحدت سیاق ـ نشان گر این است که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بیان اثبات امامت و خلافت است، و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گردیده است که وحدت سیاق در صورتی که قرینه قطعی</w:t>
      </w:r>
    </w:p>
    <w:p>
      <w:pPr>
        <w:pStyle w:val="BookText"/>
        <w:rPr/>
      </w:pPr>
      <w:r>
        <w:rPr>
          <w:rFonts w:ascii="IRNazanin" w:hAnsi="IRNazanin" w:eastAsia="IRNazanin"/>
          <w:color w:val="111111"/>
          <w:sz w:val="28"/>
          <w:sz w:val="28"/>
          <w:szCs w:val="28"/>
          <w:rtl w:val="true"/>
          <w:lang w:bidi="fa-IR"/>
        </w:rPr>
        <w:t>برخلاف آن نباشد، حجّت بوده و مورد قبول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اقتران می توان به اقتران این حدیث با حدیث غدیر اشاره کرد که متّقی هندی در کنز العمّال از ابن جریر طبری، ابن ابی عاصم و محاملی</w:t>
      </w:r>
      <w:r>
        <w:rPr>
          <w:rStyle w:val="FootnoteAnchor"/>
          <w:rtl w:val="true"/>
        </w:rPr>
        <w:footnoteReference w:id="28"/>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روز غدیر، در حالی که دست علی علیه السلام در دستش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ورسوله أولی بکم من أنفسکم وأنّ اللّه ورسوله مولاکم؟</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گواهی نمی دهید که به راستی خدا و پیامبرش از شما نسبت به خودتان اولی تر و شایسته تر است و خدا و پیامبرش مولای شماست؟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اللّه ورسوله مولاه فإنّ هذا مولاه، وقد ترکت فیکم ما إن أخذتم بهما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وأهل بیتی</w:t>
      </w:r>
      <w:r>
        <w:rPr>
          <w:rFonts w:eastAsia="IRNazanin" w:cs="IRNazanin"/>
          <w:color w:val="111111"/>
          <w:sz w:val="28"/>
          <w:szCs w:val="28"/>
          <w:rtl w:val="true"/>
          <w:lang w:bidi="fa-IR"/>
        </w:rPr>
        <w:t>.</w:t>
      </w:r>
      <w:r>
        <w:rPr>
          <w:rStyle w:val="FootnoteAnchor"/>
          <w:rtl w:val="true"/>
        </w:rPr>
        <w:footnoteReference w:id="29"/>
      </w:r>
      <w:bookmarkStart w:id="54" w:name="pg519_12067"/>
    </w:p>
    <w:p>
      <w:pPr>
        <w:pStyle w:val="BookText"/>
        <w:rPr/>
      </w:pPr>
      <w:bookmarkEnd w:id="54"/>
      <w:r>
        <w:rPr>
          <w:rFonts w:ascii="IRNazanin" w:hAnsi="IRNazanin" w:eastAsia="IRNazanin"/>
          <w:color w:val="111111"/>
          <w:sz w:val="28"/>
          <w:sz w:val="28"/>
          <w:szCs w:val="28"/>
          <w:rtl w:val="true"/>
          <w:lang w:bidi="fa-IR"/>
        </w:rPr>
        <w:t xml:space="preserve">پس کسی که خداوند و رسولش مولای او هستند، پس به راستی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شما دو چیز قرار دادم که اگر پس از من از آن دو پیروی نمایید،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اقتران حدیث ثقلین به حدیث غدیر، در مصادر بسیار دیگری نیز آمده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ابن حجر در کتاب الفتاوی الفقهیّه،</w:t>
      </w:r>
      <w:r>
        <w:rPr>
          <w:rStyle w:val="FootnoteAnchor"/>
          <w:rtl w:val="true"/>
        </w:rPr>
        <w:footnoteReference w:id="31"/>
      </w:r>
      <w:r>
        <w:rPr>
          <w:rFonts w:ascii="IRNazanin" w:hAnsi="IRNazanin" w:eastAsia="IRNazanin"/>
          <w:color w:val="111111"/>
          <w:sz w:val="28"/>
          <w:sz w:val="28"/>
          <w:szCs w:val="28"/>
          <w:rtl w:val="true"/>
          <w:lang w:bidi="fa-IR"/>
        </w:rPr>
        <w:t>سه حدیث ثقلین، غدیر و منزلت را در یک سیاق نقل کرده است که هریک از این سه حدیث شریف به طور جداگانه، دلالت بر امامت امیرالمؤمنین علیه السلام می کند</w:t>
      </w:r>
      <w:r>
        <w:rPr>
          <w:rFonts w:eastAsia="IRNazanin" w:cs="IRNazanin"/>
          <w:color w:val="111111"/>
          <w:sz w:val="28"/>
          <w:szCs w:val="28"/>
          <w:rtl w:val="true"/>
          <w:lang w:bidi="fa-IR"/>
        </w:rPr>
        <w:t>.</w:t>
      </w:r>
    </w:p>
    <w:p>
      <w:pPr>
        <w:pStyle w:val="Heading3"/>
        <w:numPr>
          <w:ilvl w:val="2"/>
          <w:numId w:val="1"/>
        </w:numPr>
        <w:rPr/>
      </w:pPr>
      <w:bookmarkStart w:id="55" w:name="__RefHeading___Toc4509991_211673320"/>
      <w:bookmarkStart w:id="56" w:name="_Toc20"/>
      <w:bookmarkEnd w:id="55"/>
      <w:r>
        <w:rPr>
          <w:rtl w:val="true"/>
        </w:rPr>
        <w:t>وصیّت به قرآن کریم و عترت در موارد مختلف</w:t>
      </w:r>
      <w:bookmarkEnd w:id="56"/>
    </w:p>
    <w:p>
      <w:pPr>
        <w:pStyle w:val="BookText"/>
        <w:rPr/>
      </w:pPr>
      <w:r>
        <w:rPr>
          <w:rFonts w:ascii="IRNazanin" w:hAnsi="IRNazanin" w:eastAsia="IRNazanin"/>
          <w:color w:val="111111"/>
          <w:sz w:val="28"/>
          <w:sz w:val="28"/>
          <w:szCs w:val="28"/>
          <w:rtl w:val="true"/>
          <w:lang w:bidi="fa-IR"/>
        </w:rPr>
        <w:t>وصیّت به قرآن کریم و عترت در موارد مختلف</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توصیه به قرآن و عترت علیهم السلام را در موارد مختلف و جاهای متفاوت تکرار فرموده اند که به چهار مورد آن اشاره 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شهر 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را ابن ابی شیبه ذکر کرده است و ابن حجر مکّی نیز در کتاب الصواعق المحرقه</w:t>
      </w:r>
      <w:r>
        <w:rPr>
          <w:rStyle w:val="FootnoteAnchor"/>
          <w:rtl w:val="true"/>
        </w:rPr>
        <w:footnoteReference w:id="32"/>
      </w:r>
      <w:r>
        <w:rPr>
          <w:rFonts w:ascii="IRNazanin" w:hAnsi="IRNazanin" w:eastAsia="IRNazanin"/>
          <w:color w:val="111111"/>
          <w:sz w:val="28"/>
          <w:sz w:val="28"/>
          <w:szCs w:val="28"/>
          <w:rtl w:val="true"/>
          <w:lang w:bidi="fa-IR"/>
        </w:rPr>
        <w:t>از او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حجّة الوداع و به طور مستقل در روز 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مورد را متّقی هندی در کنز العمّال</w:t>
      </w:r>
      <w:r>
        <w:rPr>
          <w:rStyle w:val="FootnoteAnchor"/>
          <w:rtl w:val="true"/>
        </w:rPr>
        <w:footnoteReference w:id="33"/>
      </w:r>
      <w:r>
        <w:rPr>
          <w:rFonts w:ascii="IRNazanin" w:hAnsi="IRNazanin" w:eastAsia="IRNazanin"/>
          <w:color w:val="111111"/>
          <w:sz w:val="28"/>
          <w:sz w:val="28"/>
          <w:szCs w:val="28"/>
          <w:rtl w:val="true"/>
          <w:lang w:bidi="fa-IR"/>
        </w:rPr>
        <w:t>از ابن ابی شیبه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تِرمذی در صحیح،</w:t>
      </w:r>
      <w:r>
        <w:rPr>
          <w:rStyle w:val="FootnoteAnchor"/>
          <w:rtl w:val="true"/>
        </w:rPr>
        <w:footnoteReference w:id="34"/>
      </w:r>
      <w:r>
        <w:rPr>
          <w:rFonts w:ascii="IRNazanin" w:hAnsi="IRNazanin" w:eastAsia="IRNazanin"/>
          <w:color w:val="111111"/>
          <w:sz w:val="28"/>
          <w:sz w:val="28"/>
          <w:szCs w:val="28"/>
          <w:rtl w:val="true"/>
          <w:lang w:bidi="fa-IR"/>
        </w:rPr>
        <w:t>طبرانی در کتاب المعجم الکبیر،</w:t>
      </w:r>
      <w:r>
        <w:rPr>
          <w:rStyle w:val="FootnoteAnchor"/>
          <w:rtl w:val="true"/>
        </w:rPr>
        <w:footnoteReference w:id="35"/>
      </w:r>
      <w:r>
        <w:rPr>
          <w:rFonts w:ascii="IRNazanin" w:hAnsi="IRNazanin" w:eastAsia="IRNazanin"/>
          <w:color w:val="111111"/>
          <w:sz w:val="28"/>
          <w:sz w:val="28"/>
          <w:szCs w:val="28"/>
          <w:rtl w:val="true"/>
          <w:lang w:bidi="fa-IR"/>
        </w:rPr>
        <w:t>ابن اثیر جَزَری در کتاب جامع الاصول</w:t>
      </w:r>
      <w:r>
        <w:rPr>
          <w:rStyle w:val="FootnoteAnchor"/>
          <w:rtl w:val="true"/>
        </w:rPr>
        <w:footnoteReference w:id="36"/>
      </w:r>
      <w:r>
        <w:rPr>
          <w:rFonts w:ascii="IRNazanin" w:hAnsi="IRNazanin" w:eastAsia="IRNazanin"/>
          <w:color w:val="111111"/>
          <w:sz w:val="28"/>
          <w:sz w:val="28"/>
          <w:szCs w:val="28"/>
          <w:rtl w:val="true"/>
          <w:lang w:bidi="fa-IR"/>
        </w:rPr>
        <w:t>و افراد دیگری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حجّة الوداع، در روز غدیر خم و در ضمن خطبه طولانی و مفصّل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را احمد بن حنبل در المسند،</w:t>
      </w:r>
      <w:r>
        <w:rPr>
          <w:rStyle w:val="FootnoteAnchor"/>
          <w:rtl w:val="true"/>
        </w:rPr>
        <w:footnoteReference w:id="37"/>
      </w:r>
      <w:r>
        <w:rPr>
          <w:rFonts w:ascii="IRNazanin" w:hAnsi="IRNazanin" w:eastAsia="IRNazanin"/>
          <w:color w:val="111111"/>
          <w:sz w:val="28"/>
          <w:sz w:val="28"/>
          <w:szCs w:val="28"/>
          <w:rtl w:val="true"/>
          <w:lang w:bidi="fa-IR"/>
        </w:rPr>
        <w:t>دارمی در السّنن،</w:t>
      </w:r>
      <w:r>
        <w:rPr>
          <w:rStyle w:val="FootnoteAnchor"/>
          <w:rtl w:val="true"/>
        </w:rPr>
        <w:footnoteReference w:id="38"/>
      </w:r>
      <w:r>
        <w:rPr>
          <w:rFonts w:ascii="IRNazanin" w:hAnsi="IRNazanin" w:eastAsia="IRNazanin"/>
          <w:color w:val="111111"/>
          <w:sz w:val="28"/>
          <w:sz w:val="28"/>
          <w:szCs w:val="28"/>
          <w:rtl w:val="true"/>
          <w:lang w:bidi="fa-IR"/>
        </w:rPr>
        <w:t>بیهقی در السّنن الکبری،</w:t>
      </w:r>
      <w:r>
        <w:rPr>
          <w:rStyle w:val="FootnoteAnchor"/>
          <w:rtl w:val="true"/>
        </w:rPr>
        <w:footnoteReference w:id="39"/>
      </w:r>
      <w:r>
        <w:rPr>
          <w:rFonts w:ascii="IRNazanin" w:hAnsi="IRNazanin" w:eastAsia="IRNazanin"/>
          <w:color w:val="111111"/>
          <w:sz w:val="28"/>
          <w:sz w:val="28"/>
          <w:szCs w:val="28"/>
          <w:rtl w:val="true"/>
          <w:lang w:bidi="fa-IR"/>
        </w:rPr>
        <w:t>ابن کثیر در البدایة والنّهایه</w:t>
      </w:r>
      <w:r>
        <w:rPr>
          <w:rStyle w:val="FootnoteAnchor"/>
          <w:rtl w:val="true"/>
        </w:rPr>
        <w:footnoteReference w:id="40"/>
      </w:r>
      <w:r>
        <w:rPr>
          <w:rFonts w:ascii="IRNazanin" w:hAnsi="IRNazanin" w:eastAsia="IRNazanin"/>
          <w:color w:val="111111"/>
          <w:sz w:val="28"/>
          <w:sz w:val="28"/>
          <w:szCs w:val="28"/>
          <w:rtl w:val="true"/>
          <w:lang w:bidi="fa-IR"/>
        </w:rPr>
        <w:t>و دیگران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جانگدازشان، در حالی که حجره شریف مملوّ از جمعیّت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مربوط به این مورد را ابن ابی شیبه، بزّار، ابن حجر مکّی و دیگران نقل کرده اند</w:t>
      </w:r>
      <w:r>
        <w:rPr>
          <w:rFonts w:eastAsia="IRNazanin" w:cs="IRNazanin"/>
          <w:color w:val="111111"/>
          <w:sz w:val="28"/>
          <w:szCs w:val="28"/>
          <w:rtl w:val="true"/>
          <w:lang w:bidi="fa-IR"/>
        </w:rPr>
        <w:t>.</w:t>
      </w:r>
      <w:r>
        <w:rPr>
          <w:rStyle w:val="FootnoteAnchor"/>
          <w:rtl w:val="true"/>
        </w:rPr>
        <w:footnoteReference w:id="41"/>
      </w:r>
      <w:bookmarkStart w:id="57" w:name="pg519_12069"/>
    </w:p>
    <w:p>
      <w:pPr>
        <w:pStyle w:val="Heading3"/>
        <w:numPr>
          <w:ilvl w:val="2"/>
          <w:numId w:val="1"/>
        </w:numPr>
        <w:rPr/>
      </w:pPr>
      <w:bookmarkStart w:id="58" w:name="__RefHeading___Toc4509993_211673320"/>
      <w:bookmarkStart w:id="59" w:name="_Toc21"/>
      <w:bookmarkEnd w:id="57"/>
      <w:bookmarkEnd w:id="58"/>
      <w:r>
        <w:rPr>
          <w:rtl w:val="true"/>
        </w:rPr>
        <w:t>دعوت به اتّحاد در پرتو تعلیمات حدیث ثقلین</w:t>
      </w:r>
      <w:bookmarkEnd w:id="59"/>
    </w:p>
    <w:p>
      <w:pPr>
        <w:pStyle w:val="BookText"/>
        <w:rPr/>
      </w:pPr>
      <w:r>
        <w:rPr>
          <w:rFonts w:ascii="IRNazanin" w:hAnsi="IRNazanin" w:eastAsia="IRNazanin"/>
          <w:color w:val="111111"/>
          <w:sz w:val="28"/>
          <w:sz w:val="28"/>
          <w:szCs w:val="28"/>
          <w:rtl w:val="true"/>
          <w:lang w:bidi="fa-IR"/>
        </w:rPr>
        <w:t>دعوت به اتّحاد در پرتو تعلیمات حدیث ثقلین</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 ما فقیه اهل بیت علیهم السلام، سیّد محمّد هادی میلانی رحمه اللّه نقل می فرمودند که یکی از بزرگان علمای شیعه در نجف اشرف،</w:t>
      </w:r>
      <w:r>
        <w:rPr>
          <w:rStyle w:val="FootnoteAnchor"/>
          <w:rtl w:val="true"/>
        </w:rPr>
        <w:footnoteReference w:id="42"/>
      </w:r>
      <w:r>
        <w:rPr>
          <w:rFonts w:ascii="IRNazanin" w:hAnsi="IRNazanin" w:eastAsia="IRNazanin"/>
          <w:color w:val="111111"/>
          <w:sz w:val="28"/>
          <w:sz w:val="28"/>
          <w:szCs w:val="28"/>
          <w:rtl w:val="true"/>
          <w:lang w:bidi="fa-IR"/>
        </w:rPr>
        <w:t>برای ایجاد اتّحاد بین فرقه های اسلام پیش قدم شدند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ایشان و امثال ایشان اصرار داشتیم که راه درست اتّحاد بین فرقه های اسلامی و تقارب بین مذاهب، منحصر در التزام به تبعیّت، پیروی و به کار بستن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است که این حدیث شریف نزد شیعه و سنّی از نظر صدور</w:t>
      </w:r>
    </w:p>
    <w:p>
      <w:pPr>
        <w:pStyle w:val="BookText"/>
        <w:rPr/>
      </w:pPr>
      <w:r>
        <w:rPr>
          <w:rFonts w:ascii="IRNazanin" w:hAnsi="IRNazanin" w:eastAsia="IRNazanin"/>
          <w:color w:val="111111"/>
          <w:sz w:val="28"/>
          <w:sz w:val="28"/>
          <w:szCs w:val="28"/>
          <w:rtl w:val="true"/>
          <w:lang w:bidi="fa-IR"/>
        </w:rPr>
        <w:t>و صحّت مورد اتّفاق است، گرچه قائل به تواتر آن نباشیم، در حالی که این حدیث شریف به یقین متواتر و مورد قبول در نزد طرفین بوده و از نظر دلالت هم هیچ نکته ابهامی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امری که صدورش از رسول خدا صلی اللّه علیه وآله قطعی است و دلالتش نیز بر مدّعای یکی از طرفین ـ که شیعه باشد ـ تامّ و بدون ابهام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وجهی جامع و محوری اساسی برای اتّحاد بین فرقه 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چرا آن را رها کرده و به آرا، پیشنهادها و راه های دیگری رو آوریم که نه بهره ای دارند و نه ما را به هدف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ما رحمه اللّه همواره می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این معنا اصرار فوق العاده داشتیم و در قبال ما، بزرگواری که رهبری اندیشه تقریب را به عهده داشت، پیشنهاد دیگری را در نظر داشت، تا این که وی برای انجام مقصود خود به دیار اهل خلاف سفر نمود و پس از بازگشت، به طور صریح اعتراف کرد که راه درست اتّحاد بین فرقه های مسلمان فقط همین راه است و برای علاج این مشکل چاره ای جز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نیست</w:t>
      </w:r>
      <w:r>
        <w:rPr>
          <w:rFonts w:eastAsia="IRNazanin" w:cs="IRNazanin"/>
          <w:color w:val="111111"/>
          <w:sz w:val="28"/>
          <w:szCs w:val="28"/>
          <w:rtl w:val="true"/>
          <w:lang w:bidi="fa-IR"/>
        </w:rPr>
        <w:t>.</w:t>
      </w:r>
      <w:bookmarkStart w:id="60" w:name="pg519_12071"/>
    </w:p>
    <w:p>
      <w:pPr>
        <w:pStyle w:val="Heading3"/>
        <w:numPr>
          <w:ilvl w:val="2"/>
          <w:numId w:val="1"/>
        </w:numPr>
        <w:rPr/>
      </w:pPr>
      <w:bookmarkStart w:id="61" w:name="__RefHeading___Toc4509995_211673320"/>
      <w:bookmarkStart w:id="62" w:name="_Toc22"/>
      <w:bookmarkEnd w:id="60"/>
      <w:bookmarkEnd w:id="61"/>
      <w:r>
        <w:rPr>
          <w:rtl w:val="true"/>
        </w:rPr>
        <w:t>چکیده سخن</w:t>
      </w:r>
      <w:bookmarkEnd w:id="62"/>
    </w:p>
    <w:p>
      <w:pPr>
        <w:pStyle w:val="BookText"/>
        <w:rPr/>
      </w:pPr>
      <w:r>
        <w:rPr>
          <w:rFonts w:ascii="IRNazanin" w:hAnsi="IRNazanin" w:eastAsia="IRNazanin"/>
          <w:color w:val="111111"/>
          <w:sz w:val="28"/>
          <w:sz w:val="28"/>
          <w:szCs w:val="28"/>
          <w:rtl w:val="true"/>
          <w:lang w:bidi="fa-IR"/>
        </w:rPr>
        <w:t>چکیده سخن</w:t>
      </w:r>
    </w:p>
    <w:p>
      <w:pPr>
        <w:pStyle w:val="BookText"/>
        <w:rPr/>
      </w:pPr>
      <w:r>
        <w:rPr>
          <w:rFonts w:ascii="IRNazanin" w:hAnsi="IRNazanin" w:eastAsia="IRNazanin"/>
          <w:color w:val="111111"/>
          <w:sz w:val="28"/>
          <w:sz w:val="28"/>
          <w:szCs w:val="28"/>
          <w:rtl w:val="true"/>
          <w:lang w:bidi="fa-IR"/>
        </w:rPr>
        <w:t>چکیده آن چه بیان شد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از فرا رسیدن وفات و نزدیک شدن رحلت جانگدازش خبر داد و گران بهاترین و پرارزش ترین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و عترت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اُمّت باقی گذارد و این دو یادگار گران بها، ضامن هدایت ابدی امّت خواهند بود که در اثر پیروی و تبعیّت از این دو ثقل، هرگز امّت اسلام به ضلالت نخواهند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عدم ضلالت ابدی، به کار بردن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 گر نفی اَبَد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در متون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آن 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أخذتم بهما لن تضلّوا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مادامی که به آن تمسّک کنید،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خدا صلی اللّه علیه وآله امّت را در تنگنای پرسش از این دو قرار داد و تأکید فرمود که کنار حوض کوثر، از شما خواهم پرسید که با این دو چگونه رفتار کرده اید، و آیا حقّ مرا در ارتباط با آن دو رعایت کرده اید یا نه؟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پیامبر خدا صلی اللّه علیه وآله در آن وعده و ملاقات به منصب سقایت آب کوثر توسّط امیرالمؤمنین علیه السلام اشاره فرموده که</w:t>
      </w:r>
    </w:p>
    <w:p>
      <w:pPr>
        <w:pStyle w:val="BookText"/>
        <w:rPr/>
      </w:pPr>
      <w:r>
        <w:rPr>
          <w:rFonts w:ascii="IRNazanin" w:hAnsi="IRNazanin" w:eastAsia="IRNazanin"/>
          <w:color w:val="111111"/>
          <w:sz w:val="28"/>
          <w:sz w:val="28"/>
          <w:szCs w:val="28"/>
          <w:rtl w:val="true"/>
          <w:lang w:bidi="fa-IR"/>
        </w:rPr>
        <w:t>علی علیه السلام منافقان را از نوشیدن آن آب منع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نظر می رسد که آن بزرگوار با این فرمایش، به حدیث مشهوری اشاره فرموده که مورد پذیرش شیعه و اهل سنّت است و در صحاح نیز آمده است که 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سیرد عَلَیّ أصحابی وأنّهم یذادون عن الحوض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اصحاب من در روز قیامت بر من وارد خواهند شد که آن ها را از حوض می رانند و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بعد از تو چه کارهایی انجام دادند</w:t>
      </w:r>
      <w:r>
        <w:rPr>
          <w:rFonts w:eastAsia="IRNazanin" w:cs="IRNazanin"/>
          <w:color w:val="111111"/>
          <w:sz w:val="28"/>
          <w:szCs w:val="28"/>
          <w:rtl w:val="true"/>
          <w:lang w:bidi="fa-IR"/>
        </w:rPr>
        <w:t>.</w:t>
      </w:r>
      <w:r>
        <w:rPr>
          <w:rStyle w:val="FootnoteAnchor"/>
          <w:rtl w:val="true"/>
        </w:rPr>
        <w:footnoteReference w:id="43"/>
      </w:r>
      <w:bookmarkStart w:id="63" w:name="pg519_12076"/>
    </w:p>
    <w:p>
      <w:pPr>
        <w:pStyle w:val="Heading2"/>
        <w:numPr>
          <w:ilvl w:val="1"/>
          <w:numId w:val="1"/>
        </w:numPr>
        <w:rPr/>
      </w:pPr>
      <w:bookmarkStart w:id="64" w:name="__RefHeading___Toc4509997_211673320"/>
      <w:bookmarkStart w:id="65" w:name="_Toc23"/>
      <w:bookmarkEnd w:id="63"/>
      <w:bookmarkEnd w:id="64"/>
      <w:r>
        <w:rPr>
          <w:rtl w:val="true"/>
        </w:rPr>
        <w:t>بخش چهارم</w:t>
      </w:r>
      <w:r>
        <w:rPr>
          <w:rtl w:val="true"/>
        </w:rPr>
        <w:t xml:space="preserve">: </w:t>
      </w:r>
      <w:r>
        <w:rPr>
          <w:rtl w:val="true"/>
        </w:rPr>
        <w:t>بررسی اشکال ها و ایرادهای واهی بر حدیث ثقلین</w:t>
      </w:r>
      <w:bookmarkEnd w:id="65"/>
    </w:p>
    <w:p>
      <w:pPr>
        <w:pStyle w:val="Heading3"/>
        <w:numPr>
          <w:ilvl w:val="2"/>
          <w:numId w:val="1"/>
        </w:numPr>
        <w:rPr/>
      </w:pPr>
      <w:bookmarkStart w:id="66" w:name="__RefHeading___Toc4509999_211673320"/>
      <w:bookmarkStart w:id="67" w:name="_Toc24"/>
      <w:bookmarkEnd w:id="66"/>
      <w:r>
        <w:rPr>
          <w:rtl w:val="true"/>
        </w:rPr>
        <w:t>اشکال ها و ایرادها</w:t>
      </w:r>
      <w:bookmarkEnd w:id="67"/>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بررسی اشکال ها و ایرادهای واهی بر حدیث ثقلین</w:t>
      </w:r>
    </w:p>
    <w:p>
      <w:pPr>
        <w:pStyle w:val="BookText"/>
        <w:rPr/>
      </w:pPr>
      <w:r>
        <w:rPr>
          <w:rFonts w:ascii="IRNazanin" w:hAnsi="IRNazanin" w:eastAsia="IRNazanin"/>
          <w:color w:val="111111"/>
          <w:sz w:val="28"/>
          <w:sz w:val="28"/>
          <w:szCs w:val="28"/>
          <w:rtl w:val="true"/>
          <w:lang w:bidi="fa-IR"/>
        </w:rPr>
        <w:t>اشکال ها و ایرادها</w:t>
      </w:r>
    </w:p>
    <w:p>
      <w:pPr>
        <w:pStyle w:val="BookText"/>
        <w:rPr/>
      </w:pPr>
      <w:r>
        <w:rPr>
          <w:rFonts w:ascii="IRNazanin" w:hAnsi="IRNazanin" w:eastAsia="IRNazanin"/>
          <w:color w:val="111111"/>
          <w:sz w:val="28"/>
          <w:sz w:val="28"/>
          <w:szCs w:val="28"/>
          <w:rtl w:val="true"/>
          <w:lang w:bidi="fa-IR"/>
        </w:rPr>
        <w:t xml:space="preserve">آن گاه که به کتاب های اهل تسنّن مراجعه می کنیم، درمی یابیم که آنان به پنج طریق خواسته اند استدلال های شیعه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به ذکر آن ها پرداخته و در پایان هر طریق، جواب آن را نیز بیان خواهیم کرد</w:t>
      </w:r>
      <w:r>
        <w:rPr>
          <w:rFonts w:eastAsia="IRNazanin" w:cs="IRNazanin"/>
          <w:color w:val="111111"/>
          <w:sz w:val="28"/>
          <w:szCs w:val="28"/>
          <w:rtl w:val="true"/>
          <w:lang w:bidi="fa-IR"/>
        </w:rPr>
        <w:t>.</w:t>
      </w:r>
    </w:p>
    <w:p>
      <w:pPr>
        <w:pStyle w:val="Heading3"/>
        <w:numPr>
          <w:ilvl w:val="2"/>
          <w:numId w:val="1"/>
        </w:numPr>
        <w:rPr/>
      </w:pPr>
      <w:bookmarkStart w:id="68" w:name="__RefHeading___Toc4510001_211673320"/>
      <w:bookmarkStart w:id="69" w:name="_Toc25"/>
      <w:bookmarkEnd w:id="68"/>
      <w:r>
        <w:rPr>
          <w:rtl w:val="true"/>
        </w:rPr>
        <w:t>تضعیف حدیث</w:t>
      </w:r>
      <w:bookmarkEnd w:id="69"/>
    </w:p>
    <w:p>
      <w:pPr>
        <w:pStyle w:val="BookText"/>
        <w:rPr/>
      </w:pPr>
      <w:r>
        <w:rPr>
          <w:rFonts w:ascii="IRNazanin" w:hAnsi="IRNazanin" w:eastAsia="IRNazanin"/>
          <w:color w:val="111111"/>
          <w:sz w:val="28"/>
          <w:sz w:val="28"/>
          <w:szCs w:val="28"/>
          <w:rtl w:val="true"/>
          <w:lang w:bidi="fa-IR"/>
        </w:rPr>
        <w:t>تضعیف حدیث</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طریق، طریق ابوالفرج ابن جوزی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به نام العِلَل المتناهیه فی الأحادیث الواهیه دارد که در آن، احادیثی را که به خیال خود ضعیف بوده و از نظر سند مخدوش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ثقلین را از جمله آن احادیث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شریف را با یک سند نقل کرده و پس از آن در سلسله سند حدیث خدشه نموده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ما تاکنون غیر از ابن جوزی، فرد دیگری را سراغ نداریم که حدیث ثقلین را از نظر سند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 هیچ گونه شگفتی نیست که تضعیف وی مردود است، به گونه ای که شمار بسیاری از بزرگان و محقّقان اهل تسنّن بعد از ابن جوزی، او را در این کار تخطئه کرده و عملش را مردود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فقط به ذکر اسامی معدودی از کسانی که ابن جوزی را به جهت تضعیف سند حدیث ثقلین تخطئه کرده اند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سبط ابن جوزی ـ نواده دختری او ـ در کتاب تذکرة الخواصّ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حافظ سخاوی در کتاب استجلاب ارتقاء الغرف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حافظ سَمْهودی در کتاب جواهر العقدین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مکّی در کتاب الصّواعق المحرقه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عبدالرّؤوف مَناوی در کتاب فیض القدیر</w:t>
      </w:r>
      <w:r>
        <w:rPr>
          <w:rFonts w:eastAsia="IRNazanin" w:cs="IRNazanin"/>
          <w:color w:val="111111"/>
          <w:sz w:val="28"/>
          <w:szCs w:val="28"/>
          <w:rtl w:val="true"/>
          <w:lang w:bidi="fa-IR"/>
        </w:rPr>
        <w:t>;</w:t>
      </w:r>
      <w:r>
        <w:rPr>
          <w:rStyle w:val="FootnoteAnchor"/>
          <w:rtl w:val="true"/>
        </w:rPr>
        <w:footnoteReference w:id="4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اینان گفته اند که ابن جوزی در تضعیف این حدیث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در این رفتار تخطئه کرده و دیگران را از پیروی از روش او بر حذر داشته اند، تا جایی که یکی از بزرگان اهل تسنّن</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کاری که ابن جوزی انجام داده فریب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که ابوالفرج ابن جوزی شخصی است که در نزد بزرگان اهل تسنّن، به تعصّب و عنادورزی نسبت به حقّ، معروف و مشهور است و همگان نیز متّفقند که این شخص در تضعیف احادیث یا جعلی شمردن آن ها بی پروایی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آنان، ابن جوزی را در این رفتار تخطئه نموده و دیگران را از پیروی از روش او جدّاً بر 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پیش تر مصادر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کردیم، و گفتیم که این حدیث در منابع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به صحّت این حدیث اشاره کرده اند می توان به افراد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بن حَجّاج در کتاب صحیح مسلم، که البتّه ـ همان طور که بیان شد ـ حدیث را ناقص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تِرمذی در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 اهل تسنّن به امام ائمّه حدیث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 عَوانه در کتاب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حُمَیدی در کتاب الجمع بین الصّحیحین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رزین بن معاویه عبدری در کتاب تجرید 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حاکم نیشابوری در کتاب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اسحاق در کتاب سیره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ضیاء مَقْدِسی در کتاب المختاره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بغوی در مصابیح السّنّه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النجّار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نَوَوی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حافظ مِزّی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شمس الدّین 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کثیر 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حافظ 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جلال 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شهاب قسطلانی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مکّی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عبدالرّؤوف مَنّاوی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زرقانی مالکی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ولی اللّه دهلوی</w:t>
      </w:r>
      <w:r>
        <w:rPr>
          <w:rFonts w:eastAsia="IRNazanin" w:cs="IRNazanin"/>
          <w:color w:val="111111"/>
          <w:sz w:val="28"/>
          <w:szCs w:val="28"/>
          <w:rtl w:val="true"/>
          <w:lang w:bidi="fa-IR"/>
        </w:rPr>
        <w:t>.</w:t>
      </w:r>
      <w:bookmarkStart w:id="70" w:name="pg519_12080"/>
    </w:p>
    <w:p>
      <w:pPr>
        <w:pStyle w:val="Heading3"/>
        <w:numPr>
          <w:ilvl w:val="2"/>
          <w:numId w:val="1"/>
        </w:numPr>
        <w:rPr/>
      </w:pPr>
      <w:bookmarkStart w:id="71" w:name="__RefHeading___Toc4510003_211673320"/>
      <w:bookmarkStart w:id="72" w:name="_Toc26"/>
      <w:bookmarkEnd w:id="70"/>
      <w:bookmarkEnd w:id="71"/>
      <w:r>
        <w:rPr>
          <w:rtl w:val="true"/>
        </w:rPr>
        <w:t>ناشناخته بودن متن حدیث</w:t>
      </w:r>
      <w:bookmarkEnd w:id="72"/>
    </w:p>
    <w:p>
      <w:pPr>
        <w:pStyle w:val="BookText"/>
        <w:rPr/>
      </w:pPr>
      <w:r>
        <w:rPr>
          <w:rFonts w:ascii="IRNazanin" w:hAnsi="IRNazanin" w:eastAsia="IRNazanin"/>
          <w:color w:val="111111"/>
          <w:sz w:val="28"/>
          <w:sz w:val="28"/>
          <w:szCs w:val="28"/>
          <w:rtl w:val="true"/>
          <w:lang w:bidi="fa-IR"/>
        </w:rPr>
        <w:t>ناشناخته بودن متن حدیث</w:t>
      </w:r>
    </w:p>
    <w:p>
      <w:pPr>
        <w:pStyle w:val="BookText"/>
        <w:rPr/>
      </w:pPr>
      <w:r>
        <w:rPr>
          <w:rFonts w:ascii="IRNazanin" w:hAnsi="IRNazanin" w:eastAsia="IRNazanin"/>
          <w:color w:val="111111"/>
          <w:sz w:val="28"/>
          <w:sz w:val="28"/>
          <w:szCs w:val="28"/>
          <w:rtl w:val="true"/>
          <w:lang w:bidi="fa-IR"/>
        </w:rPr>
        <w:t>طریق دوم را ابوعبداللّه بُخاری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ناشناخته بودن متن حدیث حکم کرده و در کتاب التاریخ الصّغیر</w:t>
      </w:r>
      <w:r>
        <w:rPr>
          <w:rStyle w:val="FootnoteAnchor"/>
          <w:rtl w:val="true"/>
        </w:rPr>
        <w:footnoteReference w:id="46"/>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فی حدیث عبدالملک عن عطیّة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الکوفیین هذه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روایتی که عبدالملک، از عطیّه، از ابی سعید خُدری، از رسول خدا 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 بها برای شما به جای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احادیث که از کوفیان نقل شده است، از نظر متن منکَر و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این اشکال</w:t>
      </w:r>
    </w:p>
    <w:p>
      <w:pPr>
        <w:pStyle w:val="BookText"/>
        <w:rPr/>
      </w:pPr>
      <w:r>
        <w:rPr>
          <w:rFonts w:ascii="IRNazanin" w:hAnsi="IRNazanin" w:eastAsia="IRNazanin"/>
          <w:color w:val="111111"/>
          <w:sz w:val="28"/>
          <w:sz w:val="28"/>
          <w:szCs w:val="28"/>
          <w:rtl w:val="true"/>
          <w:lang w:bidi="fa-IR"/>
        </w:rPr>
        <w:t>ما این اشکال را از دو جهت پاسخ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این کلام ـ یعنی منکَر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احمد بن حنبل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خود احمد این حدیث</w:t>
      </w:r>
      <w:bookmarkStart w:id="73" w:name="pg519_12081"/>
    </w:p>
    <w:p>
      <w:pPr>
        <w:pStyle w:val="BookText"/>
        <w:rPr/>
      </w:pPr>
      <w:bookmarkEnd w:id="73"/>
      <w:r>
        <w:rPr>
          <w:rFonts w:ascii="IRNazanin" w:hAnsi="IRNazanin" w:eastAsia="IRNazanin"/>
          <w:color w:val="111111"/>
          <w:sz w:val="28"/>
          <w:sz w:val="28"/>
          <w:szCs w:val="28"/>
          <w:rtl w:val="true"/>
          <w:lang w:bidi="fa-IR"/>
        </w:rPr>
        <w:t>شریف را در کتاب المسند</w:t>
      </w:r>
      <w:r>
        <w:rPr>
          <w:rStyle w:val="FootnoteAnchor"/>
          <w:rtl w:val="true"/>
        </w:rPr>
        <w:footnoteReference w:id="47"/>
      </w:r>
      <w:r>
        <w:rPr>
          <w:rFonts w:ascii="IRNazanin" w:hAnsi="IRNazanin" w:eastAsia="IRNazanin"/>
          <w:color w:val="111111"/>
          <w:sz w:val="28"/>
          <w:sz w:val="28"/>
          <w:szCs w:val="28"/>
          <w:rtl w:val="true"/>
          <w:lang w:bidi="fa-IR"/>
        </w:rPr>
        <w:t>و نیز در کتاب فضائل الصّحابه، با اسانید بسیاری و از عدّه زیادی از صحابه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شخصی مانند احمد بن حنبل، با این گستردگی حدیث را روایت نماید و در عین حال این حدیث را از جهت متن منکَر وناشناخته بشمارد؟ احمد بن حنبل کجا و چه زمانی این حدیث را انکار 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آری متن حدیث ثقلین در نزد بُخاری منکر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حدیثی است که بدون هیچ ابهامی بیان گر امامت امیرالمؤمنین و اهل بیتش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بر اعلمیّت، افضلیّت، همتای قرآن بودن، عصمت اهل بیت علیهم السلام و مواردی از این قبیل ـ که در حدیث موجود است ـ دلالت می نماید</w:t>
      </w:r>
      <w:r>
        <w:rPr>
          <w:rFonts w:eastAsia="IRNazanin" w:cs="IRNazanin"/>
          <w:color w:val="111111"/>
          <w:sz w:val="28"/>
          <w:szCs w:val="28"/>
          <w:rtl w:val="true"/>
          <w:lang w:bidi="fa-IR"/>
        </w:rPr>
        <w:t>.</w:t>
      </w:r>
    </w:p>
    <w:p>
      <w:pPr>
        <w:pStyle w:val="Heading3"/>
        <w:numPr>
          <w:ilvl w:val="2"/>
          <w:numId w:val="1"/>
        </w:numPr>
        <w:rPr/>
      </w:pPr>
      <w:bookmarkStart w:id="74" w:name="__RefHeading___Toc4510005_211673320"/>
      <w:bookmarkStart w:id="75" w:name="_Toc27"/>
      <w:bookmarkEnd w:id="74"/>
      <w:r>
        <w:rPr>
          <w:rtl w:val="true"/>
        </w:rPr>
        <w:t>تحریف حدیث</w:t>
      </w:r>
      <w:bookmarkEnd w:id="75"/>
    </w:p>
    <w:p>
      <w:pPr>
        <w:pStyle w:val="BookText"/>
        <w:rPr/>
      </w:pPr>
      <w:r>
        <w:rPr>
          <w:rFonts w:ascii="IRNazanin" w:hAnsi="IRNazanin" w:eastAsia="IRNazanin"/>
          <w:color w:val="111111"/>
          <w:sz w:val="28"/>
          <w:sz w:val="28"/>
          <w:szCs w:val="28"/>
          <w:rtl w:val="true"/>
          <w:lang w:bidi="fa-IR"/>
        </w:rPr>
        <w:t>تحریف حدیث</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راهی که برای بی اعتبار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اند، تحریف حدیث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تحریف به معنای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قسمتی از حدیث را که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آن است، حذف کرده و نقل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این راه را پیموده اند</w:t>
      </w:r>
    </w:p>
    <w:p>
      <w:pPr>
        <w:pStyle w:val="BookText"/>
        <w:rPr/>
      </w:pPr>
      <w:r>
        <w:rPr>
          <w:rFonts w:ascii="IRNazanin" w:hAnsi="IRNazanin" w:eastAsia="IRNazanin"/>
          <w:color w:val="111111"/>
          <w:sz w:val="28"/>
          <w:sz w:val="28"/>
          <w:szCs w:val="28"/>
          <w:rtl w:val="true"/>
          <w:lang w:bidi="fa-IR"/>
        </w:rPr>
        <w:t>مسلم بن حَجّاج در کتاب صحیح</w:t>
      </w:r>
      <w:r>
        <w:rPr>
          <w:rStyle w:val="FootnoteAnchor"/>
          <w:rtl w:val="true"/>
        </w:rPr>
        <w:footnoteReference w:id="48"/>
      </w:r>
      <w:r>
        <w:rPr>
          <w:rFonts w:ascii="IRNazanin" w:hAnsi="IRNazanin" w:eastAsia="IRNazanin"/>
          <w:color w:val="111111"/>
          <w:sz w:val="28"/>
          <w:sz w:val="28"/>
          <w:szCs w:val="28"/>
          <w:rtl w:val="true"/>
          <w:lang w:bidi="fa-IR"/>
        </w:rPr>
        <w:t>و خطیب بغدادی در کتاب تاریخ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کتاب تاریخ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مطیّن، از نصر بن عبدالرحمان، از زید بن حسن، از معروف از ابوطفیل این گونه نقل می کند که حذیفة بن اُسَید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فرط لکم وأنتم واردون علیّ الحوض، وإنّی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سبب طرفه بید اللّه وطرفه بأیدیکم، فاستمسکوا به ولا تضلّوا ولا تبدّلوا</w:t>
      </w:r>
      <w:r>
        <w:rPr>
          <w:rFonts w:eastAsia="IRNazanin" w:cs="IRNazanin"/>
          <w:color w:val="111111"/>
          <w:sz w:val="28"/>
          <w:szCs w:val="28"/>
          <w:rtl w:val="true"/>
          <w:lang w:bidi="fa-IR"/>
        </w:rPr>
        <w:t>.</w:t>
      </w:r>
      <w:r>
        <w:rPr>
          <w:rStyle w:val="FootnoteAnchor"/>
          <w:rtl w:val="true"/>
        </w:rPr>
        <w:footnoteReference w:id="4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پیش از شما از دنیا می روم و شما کنار حوض کوثر بر من وارد می شوید، و من هنگام ورودتان از دو گوهر گران بها که در میان شما به ودیعت گذاشته بودم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دقّت کنید که چگونه حقّ مرا درباره آن دو رعایت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کتاب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که یک طرفش به دست خداوند و طرف دیگرش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تمسّک کنید و گمراه نشوید و آن را دگرگون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می شود، با این که در صدر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ذیل آن، از این دو گوهر گران بها، فقط یک مورد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از ذکر دیگری 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این حدیث، با همین سندی که خطیب در کتابش آورده است، بدون کوچکترین تفاوتی در تمامی سند، در سایر مصادر اهل تسنّن موجود است و در ذیل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نیز نام برده شده است که ما فقط به یک منبع اکتفا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تِرمذی در نوادر الاصول، حدیث شریف را با همین سند چنین نقل می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فرطکم علیّ الحوض وإنّی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سبب طرفه بید اللّه وطرفه بأیدیکم، فاستمسکوا به ولا تضلّوا ولا 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 فإنّی قد نبّأنی اللّطیف الخبیر أنّهما لن یفترقا حتّی یردا علیّ الحوض</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پیش از شما از دنیا می روم و شما کنار حوض کوثر بر من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ورودتان از دو گوهر گران بها که میان شما به ودیعت نهاده بودم،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دقّت کنید که چگونه حقّ مرا درباره آن دو رعایت کرده اید؟ یکی از آن دو، کتاب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که یک طرفش به دست خداوند متعال و طرف دیگرش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تمسّک کنید و گمراه نشوید و آن را دگرگون نسازید و دیگری عترتم که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خداوند آگاه و دانایِ رازها به من خبر داد که این دو از یکدیگر جدا نمی شوند تا این که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کنید و به این دو نقل توجّه نموده و با یکدیگر مقایسه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خطیب بغدادی در حدیث شریف تصرّف کرده است یا ناسخان و یا ناشران؟ خداوند داناتر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ذکر جمیع مواردِ تحریف نیاز به مجالی وسیع تر و تألیف جداگانه ای است</w:t>
      </w:r>
      <w:r>
        <w:rPr>
          <w:rFonts w:eastAsia="IRNazanin" w:cs="IRNazanin"/>
          <w:color w:val="111111"/>
          <w:sz w:val="28"/>
          <w:szCs w:val="28"/>
          <w:rtl w:val="true"/>
          <w:lang w:bidi="fa-IR"/>
        </w:rPr>
        <w:t>.</w:t>
      </w:r>
      <w:bookmarkStart w:id="76" w:name="pg519_12085"/>
    </w:p>
    <w:p>
      <w:pPr>
        <w:pStyle w:val="Heading3"/>
        <w:numPr>
          <w:ilvl w:val="2"/>
          <w:numId w:val="1"/>
        </w:numPr>
        <w:rPr/>
      </w:pPr>
      <w:bookmarkStart w:id="77" w:name="__RefHeading___Toc4510007_211673320"/>
      <w:bookmarkStart w:id="78" w:name="_Toc28"/>
      <w:bookmarkEnd w:id="76"/>
      <w:bookmarkEnd w:id="77"/>
      <w:r>
        <w:rPr>
          <w:rtl w:val="true"/>
        </w:rPr>
        <w:t>معارضه با احادیث دیگر</w:t>
      </w:r>
      <w:bookmarkEnd w:id="78"/>
    </w:p>
    <w:p>
      <w:pPr>
        <w:pStyle w:val="BookText"/>
        <w:rPr/>
      </w:pPr>
      <w:r>
        <w:rPr>
          <w:rFonts w:ascii="IRNazanin" w:hAnsi="IRNazanin" w:eastAsia="IRNazanin"/>
          <w:color w:val="111111"/>
          <w:sz w:val="28"/>
          <w:sz w:val="28"/>
          <w:szCs w:val="28"/>
          <w:rtl w:val="true"/>
          <w:lang w:bidi="fa-IR"/>
        </w:rPr>
        <w:t>معارضه با احادیث دیگر</w:t>
      </w:r>
    </w:p>
    <w:p>
      <w:pPr>
        <w:pStyle w:val="BookText"/>
        <w:rPr/>
      </w:pPr>
      <w:r>
        <w:rPr>
          <w:rFonts w:ascii="IRNazanin" w:hAnsi="IRNazanin" w:eastAsia="IRNazanin"/>
          <w:color w:val="111111"/>
          <w:sz w:val="28"/>
          <w:sz w:val="28"/>
          <w:szCs w:val="28"/>
          <w:rtl w:val="true"/>
          <w:lang w:bidi="fa-IR"/>
        </w:rPr>
        <w:t xml:space="preserve">چهارمین راهی که اهل سنّت برای بی اعتبار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اند، معارضه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با احادیثی که خود در کتاب هایشان روایت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اعتبار افتادن حدیثی در اثر وجود معارضی که از نظر سند و دلالت، همتا و همسنگ با آن حدیث باشد امری مطابق قاعده و صناعت بوده و مورد قبول همه 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ـ همچنان که پیش تر اشاره شد ـ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فرع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دو حدیث متعارض، از نظر سند و دلالت باید تمام باشند و حجیّت هر یک مسلّم باشد تا نوبت به معارضه برسد در نتیجه یکی درست و دیگری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یکی از احادیث نسبت به دیگری ترجیح داشته باشد، و اگر یکی از احادیث صحیح باشد و دیگری غیر صحیح باشد، نوبت به معارضه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پرسیم حدیث ثقلین یا همان حدیث وصیّت به قرآن و اهل بیت علیهم السلام با کدام حدیثی در تعارض است؟</w:t>
      </w:r>
    </w:p>
    <w:p>
      <w:pPr>
        <w:pStyle w:val="BookText"/>
        <w:rPr/>
      </w:pPr>
      <w:r>
        <w:rPr>
          <w:rFonts w:ascii="IRNazanin" w:hAnsi="IRNazanin" w:eastAsia="IRNazanin"/>
          <w:color w:val="111111"/>
          <w:sz w:val="28"/>
          <w:sz w:val="28"/>
          <w:szCs w:val="28"/>
          <w:rtl w:val="true"/>
          <w:lang w:bidi="fa-IR"/>
        </w:rPr>
        <w:t>مهم ترین حدیثی که به عنوان معارض برای حدیث ثقلین مطرح شده است، دو حدیث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حدیث اقتدا به شیخین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حدیث ثقلینی که در آن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نخست را از رسول خدا صلی اللّه علیه وآله نقل می کنند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وعمر</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به دو نفری که پس از من هستند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برخی از منابع اهل تسنّن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گونه مدّعی هستند که این حدیث بر وجوب اقتدا به شیخین دلالت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وجوب تمسّک به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بین این دو حدیث تعارض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این ایراد به نقد و بررسی این حدیث پرداخته و گفتار جداگانه ای را نوشته ایم</w:t>
      </w:r>
      <w:r>
        <w:rPr>
          <w:rFonts w:eastAsia="IRNazanin" w:cs="IRNazanin"/>
          <w:color w:val="111111"/>
          <w:sz w:val="28"/>
          <w:szCs w:val="28"/>
          <w:rtl w:val="true"/>
          <w:lang w:bidi="fa-IR"/>
        </w:rPr>
        <w:t>.</w:t>
      </w:r>
      <w:r>
        <w:rPr>
          <w:rStyle w:val="FootnoteAnchor"/>
          <w:rtl w:val="true"/>
        </w:rPr>
        <w:footnoteReference w:id="5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بررسی ما پیرامون حدیث اقتدا به شیخین، ضعف سندی آن است که بزرگان جرح و تعدیل و عالمان مورد قبول اهل سنّت به ضعیف بودن تمامی راویان آن و به مجعول و دروغ بودن این حدیث</w:t>
      </w:r>
      <w:bookmarkStart w:id="79" w:name="pg519_12087"/>
    </w:p>
    <w:p>
      <w:pPr>
        <w:pStyle w:val="BookText"/>
        <w:rPr/>
      </w:pPr>
      <w:bookmarkEnd w:id="79"/>
      <w:r>
        <w:rPr>
          <w:rFonts w:ascii="IRNazanin" w:hAnsi="IRNazanin" w:eastAsia="IRNazanin"/>
          <w:color w:val="111111"/>
          <w:sz w:val="28"/>
          <w:sz w:val="28"/>
          <w:szCs w:val="28"/>
          <w:rtl w:val="true"/>
          <w:lang w:bidi="fa-IR"/>
        </w:rPr>
        <w:t>تصریح نموده 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امّا درباره حدیث ثقلینی که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باشد،</w:t>
      </w:r>
      <w:r>
        <w:rPr>
          <w:rStyle w:val="FootnoteAnchor"/>
          <w:rtl w:val="true"/>
        </w:rPr>
        <w:footnoteReference w:id="54"/>
      </w:r>
      <w:r>
        <w:rPr>
          <w:rFonts w:ascii="IRNazanin" w:hAnsi="IRNazanin" w:eastAsia="IRNazanin"/>
          <w:color w:val="111111"/>
          <w:sz w:val="28"/>
          <w:sz w:val="28"/>
          <w:szCs w:val="28"/>
          <w:rtl w:val="true"/>
          <w:lang w:bidi="fa-IR"/>
        </w:rPr>
        <w:t>ما پژوهشی جداگانه انجام داده ایم که خوانندگان گرامی می توانند به آن پژوهش مراجعه نمایند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80" w:name="__RefHeading___Toc4510009_211673320"/>
      <w:bookmarkStart w:id="81" w:name="_Toc29"/>
      <w:bookmarkEnd w:id="80"/>
      <w:r>
        <w:rPr>
          <w:rtl w:val="true"/>
        </w:rPr>
        <w:t>تکذیب حدیث</w:t>
      </w:r>
      <w:bookmarkEnd w:id="81"/>
    </w:p>
    <w:p>
      <w:pPr>
        <w:pStyle w:val="BookText"/>
        <w:rPr/>
      </w:pPr>
      <w:r>
        <w:rPr>
          <w:rFonts w:ascii="IRNazanin" w:hAnsi="IRNazanin" w:eastAsia="IRNazanin"/>
          <w:color w:val="111111"/>
          <w:sz w:val="28"/>
          <w:sz w:val="28"/>
          <w:szCs w:val="28"/>
          <w:rtl w:val="true"/>
          <w:lang w:bidi="fa-IR"/>
        </w:rPr>
        <w:t>تکذیب حدیث</w:t>
      </w:r>
    </w:p>
    <w:p>
      <w:pPr>
        <w:pStyle w:val="BookText"/>
        <w:rPr/>
      </w:pPr>
      <w:r>
        <w:rPr>
          <w:rFonts w:ascii="IRNazanin" w:hAnsi="IRNazanin" w:eastAsia="IRNazanin"/>
          <w:color w:val="111111"/>
          <w:sz w:val="28"/>
          <w:sz w:val="28"/>
          <w:szCs w:val="28"/>
          <w:rtl w:val="true"/>
          <w:lang w:bidi="fa-IR"/>
        </w:rPr>
        <w:t xml:space="preserve">بعد از ابطال چهار طریق گذشته، تنها راهی که برای بی اعتبار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طریق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جناب ابن تیمیّه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چه راه آسان و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اهل تسنّن از این راه با همه سهولتی که دارد غافل بوده اند؟</w:t>
      </w:r>
    </w:p>
    <w:p>
      <w:pPr>
        <w:pStyle w:val="BookText"/>
        <w:rPr/>
      </w:pPr>
      <w:r>
        <w:rPr>
          <w:rFonts w:ascii="IRNazanin" w:hAnsi="IRNazanin" w:eastAsia="IRNazanin"/>
          <w:color w:val="111111"/>
          <w:sz w:val="28"/>
          <w:sz w:val="28"/>
          <w:szCs w:val="28"/>
          <w:rtl w:val="true"/>
          <w:lang w:bidi="fa-IR"/>
        </w:rPr>
        <w:t>چرا با وجود چنین راهی، خود را در ایجاد تحریف در این حدیث به زحمت انداخته اند تا موجبات بدنامی و خیانت را برای خودشان فراهم کنند؟</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طرف معارضه با عبارتی موهوم و ساختگی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اقتدا به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w:t>
      </w:r>
    </w:p>
    <w:p>
      <w:pPr>
        <w:pStyle w:val="BookText"/>
        <w:rPr/>
      </w:pPr>
      <w:r>
        <w:rPr>
          <w:rFonts w:ascii="IRNazanin" w:hAnsi="IRNazanin" w:eastAsia="IRNazanin"/>
          <w:color w:val="111111"/>
          <w:sz w:val="28"/>
          <w:sz w:val="28"/>
          <w:szCs w:val="28"/>
          <w:rtl w:val="true"/>
          <w:lang w:bidi="fa-IR"/>
        </w:rPr>
        <w:t xml:space="preserve">چرا ابن جوزی خود را در تضعیف رجال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می اندازد تا بزرگان طائفه او را ردّ کرده و تخطئه کنند؟</w:t>
      </w:r>
    </w:p>
    <w:p>
      <w:pPr>
        <w:pStyle w:val="BookText"/>
        <w:rPr/>
      </w:pPr>
      <w:r>
        <w:rPr>
          <w:rFonts w:ascii="IRNazanin" w:hAnsi="IRNazanin" w:eastAsia="IRNazanin"/>
          <w:color w:val="111111"/>
          <w:sz w:val="28"/>
          <w:sz w:val="28"/>
          <w:szCs w:val="28"/>
          <w:rtl w:val="true"/>
          <w:lang w:bidi="fa-IR"/>
        </w:rPr>
        <w:t>پس بهترین راه آن است که حدیث ثقلین را تصدیق نکنند و ادّعا شود که سند معتبری برای گفتار پیامبر خدا صلی اللّه علیه وآله نیست، آن 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 ما إن تمسّکتم بهما لن تضلّوا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اهل بیتم، مادامی که به آن دو تمسّک کنید،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شیعه این قدر بر این حدیث پافشاری دارد و امامت امیر مؤمنان علی علیه السلام را به واسطه آن اثبات می کند؟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شیوه ابن تیمیّه یا همان شیخ الاسلام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قبال احادیث امامت امیرالمؤمنین علیه السلام و مناقب و فضایل اهل بیت علیهم السلام این گونه بوده و میان ابن تیمیّه و امثال او، و میان اهل بیت پیامبر علیهم السلام خداوند متعال خوب داوری است، و او بهترین داوران است</w:t>
      </w:r>
      <w:r>
        <w:rPr>
          <w:rFonts w:eastAsia="IRNazanin" w:cs="IRNazanin"/>
          <w:color w:val="111111"/>
          <w:sz w:val="28"/>
          <w:szCs w:val="28"/>
          <w:rtl w:val="true"/>
          <w:lang w:bidi="fa-IR"/>
        </w:rPr>
        <w:t>.</w:t>
      </w:r>
      <w:bookmarkStart w:id="82" w:name="pg519_12092"/>
    </w:p>
    <w:p>
      <w:pPr>
        <w:pStyle w:val="Heading2"/>
        <w:numPr>
          <w:ilvl w:val="1"/>
          <w:numId w:val="1"/>
        </w:numPr>
        <w:rPr/>
      </w:pPr>
      <w:bookmarkStart w:id="83" w:name="__RefHeading___Toc4510011_211673320"/>
      <w:bookmarkStart w:id="84" w:name="_Toc30"/>
      <w:bookmarkEnd w:id="82"/>
      <w:bookmarkEnd w:id="83"/>
      <w:r>
        <w:rPr>
          <w:rtl w:val="true"/>
        </w:rPr>
        <w:t>کتاب نامه</w:t>
      </w:r>
      <w:bookmarkEnd w:id="84"/>
    </w:p>
    <w:p>
      <w:pPr>
        <w:pStyle w:val="Heading3"/>
        <w:numPr>
          <w:ilvl w:val="2"/>
          <w:numId w:val="1"/>
        </w:numPr>
        <w:rPr/>
      </w:pPr>
      <w:bookmarkStart w:id="85" w:name="__RefHeading___Toc4510013_211673320"/>
      <w:bookmarkStart w:id="86" w:name="_Toc31"/>
      <w:bookmarkEnd w:id="85"/>
      <w:r>
        <w:rPr>
          <w:rtl w:val="true"/>
        </w:rPr>
        <w:t>«</w:t>
      </w:r>
      <w:r>
        <w:rPr>
          <w:rtl w:val="true"/>
        </w:rPr>
        <w:t>الف</w:t>
      </w:r>
      <w:r>
        <w:rPr>
          <w:rtl w:val="true"/>
        </w:rPr>
        <w:t>»</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المیت بفضائل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الثقلین،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شیبانی معروف به ابن الاثیر،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أسنی المطالب فی أحادیث مختلفة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درویش الحوت، مکتبه التجاریة الکبری، مصر، چاپ اول، سال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المحاملی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اسماعیل محاملی، دار ابن القیّم، اردن</w:t>
      </w:r>
      <w:r>
        <w:rPr>
          <w:rFonts w:eastAsia="IRNazanin" w:cs="IRNazanin"/>
          <w:color w:val="111111"/>
          <w:sz w:val="28"/>
          <w:szCs w:val="28"/>
          <w:rtl w:val="true"/>
          <w:lang w:bidi="fa-IR"/>
        </w:rPr>
        <w:t>.</w:t>
      </w:r>
    </w:p>
    <w:p>
      <w:pPr>
        <w:pStyle w:val="Heading3"/>
        <w:numPr>
          <w:ilvl w:val="2"/>
          <w:numId w:val="1"/>
        </w:numPr>
        <w:rPr/>
      </w:pPr>
      <w:bookmarkStart w:id="87" w:name="__RefHeading___Toc4510015_211673320"/>
      <w:bookmarkStart w:id="88" w:name="_Toc32"/>
      <w:bookmarkEnd w:id="87"/>
      <w:r>
        <w:rPr>
          <w:rtl w:val="true"/>
        </w:rPr>
        <w:t>«</w:t>
      </w:r>
      <w:r>
        <w:rPr>
          <w:rtl w:val="true"/>
        </w:rPr>
        <w:t>ب</w:t>
      </w:r>
      <w:r>
        <w:rPr>
          <w:rtl w:val="true"/>
        </w:rPr>
        <w:t>»</w:t>
      </w:r>
      <w:bookmarkEnd w:id="8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البدایة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ابی الفداء اسماعیل بن کثیر دمشقی، دار احیاء التراث العربی ومؤسسة التاریخ العربی، بیروت، لبنان</w:t>
      </w:r>
      <w:r>
        <w:rPr>
          <w:rFonts w:eastAsia="IRNazanin" w:cs="IRNazanin"/>
          <w:color w:val="111111"/>
          <w:sz w:val="28"/>
          <w:szCs w:val="28"/>
          <w:rtl w:val="true"/>
          <w:lang w:bidi="fa-IR"/>
        </w:rPr>
        <w:t>.</w:t>
      </w:r>
      <w:bookmarkStart w:id="89" w:name="pg519_12093"/>
    </w:p>
    <w:p>
      <w:pPr>
        <w:pStyle w:val="Heading3"/>
        <w:numPr>
          <w:ilvl w:val="2"/>
          <w:numId w:val="1"/>
        </w:numPr>
        <w:rPr/>
      </w:pPr>
      <w:bookmarkStart w:id="90" w:name="__RefHeading___Toc4510017_211673320"/>
      <w:bookmarkStart w:id="91" w:name="_Toc33"/>
      <w:bookmarkEnd w:id="89"/>
      <w:bookmarkEnd w:id="90"/>
      <w:r>
        <w:rPr>
          <w:rtl w:val="true"/>
        </w:rPr>
        <w:t>«</w:t>
      </w:r>
      <w:r>
        <w:rPr>
          <w:rtl w:val="true"/>
        </w:rPr>
        <w:t>ت</w:t>
      </w:r>
      <w:r>
        <w:rPr>
          <w:rtl w:val="true"/>
        </w:rPr>
        <w:t>»</w:t>
      </w:r>
      <w:bookmarkEnd w:id="9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اسماعیل بخاری،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خازن بغدادی، قاهره، مصر، سال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دار احیاء التراث العربی، بیروت،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المعرفه، بیروت، لبنان</w:t>
      </w:r>
      <w:r>
        <w:rPr>
          <w:rFonts w:eastAsia="IRNazanin" w:cs="IRNazanin"/>
          <w:color w:val="111111"/>
          <w:sz w:val="28"/>
          <w:szCs w:val="28"/>
          <w:rtl w:val="true"/>
          <w:lang w:bidi="fa-IR"/>
        </w:rPr>
        <w:t>.</w:t>
      </w:r>
    </w:p>
    <w:p>
      <w:pPr>
        <w:pStyle w:val="Heading3"/>
        <w:numPr>
          <w:ilvl w:val="2"/>
          <w:numId w:val="1"/>
        </w:numPr>
        <w:rPr/>
      </w:pPr>
      <w:bookmarkStart w:id="92" w:name="__RefHeading___Toc4510019_211673320"/>
      <w:bookmarkStart w:id="93" w:name="_Toc34"/>
      <w:bookmarkEnd w:id="92"/>
      <w:r>
        <w:rPr>
          <w:rtl w:val="true"/>
        </w:rPr>
        <w:t>«</w:t>
      </w:r>
      <w:r>
        <w:rPr>
          <w:rtl w:val="true"/>
        </w:rPr>
        <w:t>ج</w:t>
      </w:r>
      <w:r>
        <w:rPr>
          <w:rtl w:val="true"/>
        </w:rPr>
        <w:t>»</w:t>
      </w:r>
      <w:bookmarkEnd w:id="93"/>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بن محمّد شیبانی معروف به ابن الاثیر، دار الفکر، بیروت،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Heading3"/>
        <w:numPr>
          <w:ilvl w:val="2"/>
          <w:numId w:val="1"/>
        </w:numPr>
        <w:rPr/>
      </w:pPr>
      <w:bookmarkStart w:id="94" w:name="__RefHeading___Toc4510021_211673320"/>
      <w:bookmarkStart w:id="95" w:name="_Toc35"/>
      <w:bookmarkEnd w:id="94"/>
      <w:r>
        <w:rPr>
          <w:rtl w:val="true"/>
        </w:rPr>
        <w:t>«</w:t>
      </w:r>
      <w:r>
        <w:rPr>
          <w:rtl w:val="true"/>
        </w:rPr>
        <w:t>د</w:t>
      </w:r>
      <w:r>
        <w:rPr>
          <w:rtl w:val="true"/>
        </w:rPr>
        <w:t>»</w:t>
      </w:r>
      <w:bookmarkEnd w:id="95"/>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اول، سال </w:t>
      </w:r>
      <w:r>
        <w:rPr>
          <w:rFonts w:eastAsia="IRNazanin" w:cs="IRNazanin"/>
          <w:color w:val="111111"/>
          <w:sz w:val="28"/>
          <w:szCs w:val="28"/>
          <w:lang w:bidi="fa-IR"/>
        </w:rPr>
        <w:t>1421</w:t>
      </w:r>
      <w:r>
        <w:rPr>
          <w:rFonts w:eastAsia="IRNazanin" w:cs="IRNazanin"/>
          <w:color w:val="111111"/>
          <w:sz w:val="28"/>
          <w:szCs w:val="28"/>
          <w:rtl w:val="true"/>
          <w:lang w:bidi="fa-IR"/>
        </w:rPr>
        <w:t>.</w:t>
      </w:r>
      <w:bookmarkStart w:id="96" w:name="pg519_12094"/>
    </w:p>
    <w:p>
      <w:pPr>
        <w:pStyle w:val="BookText"/>
        <w:rPr/>
      </w:pPr>
      <w:bookmarkEnd w:id="96"/>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النّضید من مجموعة الحفید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شافعی، مطبعه التقدّم، مصر، چاپ اول، سال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97" w:name="__RefHeading___Toc4510023_211673320"/>
      <w:bookmarkStart w:id="98" w:name="_Toc36"/>
      <w:bookmarkEnd w:id="97"/>
      <w:r>
        <w:rPr>
          <w:rtl w:val="true"/>
        </w:rPr>
        <w:t>«</w:t>
      </w:r>
      <w:r>
        <w:rPr>
          <w:rtl w:val="true"/>
        </w:rPr>
        <w:t>س</w:t>
      </w:r>
      <w:r>
        <w:rPr>
          <w:rtl w:val="true"/>
        </w:rPr>
        <w:t>»</w:t>
      </w:r>
      <w:bookmarkEnd w:id="98"/>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سمط النّجوم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عصامی 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مکتبه التجاریة الکبری، قاهره، مصر،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99" w:name="__RefHeading___Toc4510025_211673320"/>
      <w:bookmarkStart w:id="100" w:name="_Toc37"/>
      <w:bookmarkEnd w:id="99"/>
      <w:r>
        <w:rPr>
          <w:rtl w:val="true"/>
        </w:rPr>
        <w:t>«</w:t>
      </w:r>
      <w:r>
        <w:rPr>
          <w:rtl w:val="true"/>
        </w:rPr>
        <w:t>ش</w:t>
      </w:r>
      <w:r>
        <w:rPr>
          <w:rtl w:val="true"/>
        </w:rPr>
        <w:t>»</w:t>
      </w:r>
      <w:bookmarkEnd w:id="100"/>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عبری فرقانی، مخطوط، کتابخانه آیت اللّه مرعشی نجفی به شماره </w:t>
      </w:r>
      <w:r>
        <w:rPr>
          <w:rFonts w:eastAsia="IRNazanin" w:cs="IRNazanin"/>
          <w:color w:val="111111"/>
          <w:sz w:val="28"/>
          <w:szCs w:val="28"/>
          <w:lang w:bidi="fa-IR"/>
        </w:rPr>
        <w:t>2778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عبیداللّه بن احمد، معروف به حاکم حسکانی، مجمع احیاء الثقافة الاسلامیه،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Heading3"/>
        <w:numPr>
          <w:ilvl w:val="2"/>
          <w:numId w:val="1"/>
        </w:numPr>
        <w:rPr/>
      </w:pPr>
      <w:bookmarkStart w:id="101" w:name="__RefHeading___Toc4510027_211673320"/>
      <w:bookmarkStart w:id="102" w:name="_Toc38"/>
      <w:bookmarkEnd w:id="101"/>
      <w:r>
        <w:rPr>
          <w:rtl w:val="true"/>
        </w:rPr>
        <w:t>«</w:t>
      </w:r>
      <w:r>
        <w:rPr>
          <w:rtl w:val="true"/>
        </w:rPr>
        <w:t>ص</w:t>
      </w:r>
      <w:r>
        <w:rPr>
          <w:rtl w:val="true"/>
        </w:rPr>
        <w:t>»</w:t>
      </w:r>
      <w:bookmarkEnd w:id="102"/>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حمّاد جوهری، دار العلم ملایین، بیروت، لبنان، چاپ اول، سال </w:t>
      </w:r>
      <w:r>
        <w:rPr>
          <w:rFonts w:eastAsia="IRNazanin" w:cs="IRNazanin"/>
          <w:color w:val="111111"/>
          <w:sz w:val="28"/>
          <w:szCs w:val="28"/>
          <w:lang w:bidi="fa-IR"/>
        </w:rPr>
        <w:t>1376</w:t>
      </w:r>
      <w:r>
        <w:rPr>
          <w:rFonts w:eastAsia="IRNazanin" w:cs="IRNazanin"/>
          <w:color w:val="111111"/>
          <w:sz w:val="28"/>
          <w:szCs w:val="28"/>
          <w:rtl w:val="true"/>
          <w:lang w:bidi="fa-IR"/>
        </w:rPr>
        <w:t>.</w:t>
      </w:r>
      <w:bookmarkStart w:id="103" w:name="pg519_12095"/>
    </w:p>
    <w:p>
      <w:pPr>
        <w:pStyle w:val="BookText"/>
        <w:rPr/>
      </w:pPr>
      <w:bookmarkEnd w:id="103"/>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اسماعیل بُخاری،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ترمذی،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قشیری نیشابوری، مؤسسه عز الدین، بیروت، لبنان، چاپ اول،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مکتبة القاهره، قاهره، مصر</w:t>
      </w:r>
      <w:r>
        <w:rPr>
          <w:rFonts w:eastAsia="IRNazanin" w:cs="IRNazanin"/>
          <w:color w:val="111111"/>
          <w:sz w:val="28"/>
          <w:szCs w:val="28"/>
          <w:rtl w:val="true"/>
          <w:lang w:bidi="fa-IR"/>
        </w:rPr>
        <w:t>.</w:t>
      </w:r>
    </w:p>
    <w:p>
      <w:pPr>
        <w:pStyle w:val="Heading3"/>
        <w:numPr>
          <w:ilvl w:val="2"/>
          <w:numId w:val="1"/>
        </w:numPr>
        <w:rPr/>
      </w:pPr>
      <w:bookmarkStart w:id="104" w:name="__RefHeading___Toc4510029_211673320"/>
      <w:bookmarkStart w:id="105" w:name="_Toc39"/>
      <w:bookmarkEnd w:id="104"/>
      <w:r>
        <w:rPr>
          <w:rtl w:val="true"/>
        </w:rPr>
        <w:t>«</w:t>
      </w:r>
      <w:r>
        <w:rPr>
          <w:rtl w:val="true"/>
        </w:rPr>
        <w:t>ط</w:t>
      </w:r>
      <w:r>
        <w:rPr>
          <w:rtl w:val="true"/>
        </w:rPr>
        <w:t>»</w:t>
      </w:r>
      <w:bookmarkEnd w:id="105"/>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Heading3"/>
        <w:numPr>
          <w:ilvl w:val="2"/>
          <w:numId w:val="1"/>
        </w:numPr>
        <w:rPr/>
      </w:pPr>
      <w:bookmarkStart w:id="106" w:name="__RefHeading___Toc4510031_211673320"/>
      <w:bookmarkStart w:id="107" w:name="_Toc40"/>
      <w:bookmarkEnd w:id="106"/>
      <w:r>
        <w:rPr>
          <w:rtl w:val="true"/>
        </w:rPr>
        <w:t>«</w:t>
      </w:r>
      <w:r>
        <w:rPr>
          <w:rtl w:val="true"/>
        </w:rPr>
        <w:t>ع</w:t>
      </w:r>
      <w:r>
        <w:rPr>
          <w:rtl w:val="true"/>
        </w:rPr>
        <w:t>»</w:t>
      </w:r>
      <w:bookmarkEnd w:id="107"/>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المتناهیّة فی الاحادیث الواهیّه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اول،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Heading3"/>
        <w:numPr>
          <w:ilvl w:val="2"/>
          <w:numId w:val="1"/>
        </w:numPr>
        <w:rPr/>
      </w:pPr>
      <w:bookmarkStart w:id="108" w:name="__RefHeading___Toc4510033_211673320"/>
      <w:bookmarkStart w:id="109" w:name="_Toc41"/>
      <w:bookmarkEnd w:id="108"/>
      <w:r>
        <w:rPr>
          <w:rtl w:val="true"/>
        </w:rPr>
        <w:t>«</w:t>
      </w:r>
      <w:r>
        <w:rPr>
          <w:rtl w:val="true"/>
        </w:rPr>
        <w:t>ف</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الفتاوی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مکی هیتمی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فی الأهواء والملل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bookmarkStart w:id="110" w:name="pg519_12096"/>
    </w:p>
    <w:p>
      <w:pPr>
        <w:pStyle w:val="BookText"/>
        <w:rPr/>
      </w:pPr>
      <w:bookmarkEnd w:id="110"/>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Heading3"/>
        <w:numPr>
          <w:ilvl w:val="2"/>
          <w:numId w:val="1"/>
        </w:numPr>
        <w:rPr/>
      </w:pPr>
      <w:bookmarkStart w:id="111" w:name="__RefHeading___Toc4510035_211673320"/>
      <w:bookmarkStart w:id="112" w:name="_Toc42"/>
      <w:bookmarkEnd w:id="111"/>
      <w:r>
        <w:rPr>
          <w:rtl w:val="true"/>
        </w:rPr>
        <w:t>«</w:t>
      </w:r>
      <w:r>
        <w:rPr>
          <w:rtl w:val="true"/>
        </w:rPr>
        <w:t>ق</w:t>
      </w:r>
      <w:r>
        <w:rPr>
          <w:rtl w:val="true"/>
        </w:rPr>
        <w:t>»</w:t>
      </w:r>
      <w:bookmarkEnd w:id="112"/>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دار احیاء التراث عربی، بیروت، لبنان،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Heading3"/>
        <w:numPr>
          <w:ilvl w:val="2"/>
          <w:numId w:val="1"/>
        </w:numPr>
        <w:rPr/>
      </w:pPr>
      <w:bookmarkStart w:id="113" w:name="__RefHeading___Toc4510037_211673320"/>
      <w:bookmarkStart w:id="114" w:name="_Toc43"/>
      <w:bookmarkEnd w:id="113"/>
      <w:r>
        <w:rPr>
          <w:rtl w:val="true"/>
        </w:rPr>
        <w:t>«</w:t>
      </w:r>
      <w:r>
        <w:rPr>
          <w:rtl w:val="true"/>
        </w:rPr>
        <w:t>ک</w:t>
      </w:r>
      <w:r>
        <w:rPr>
          <w:rtl w:val="true"/>
        </w:rPr>
        <w:t>»</w:t>
      </w:r>
      <w:bookmarkEnd w:id="114"/>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الاستار عن زوائد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هیثمی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Heading3"/>
        <w:numPr>
          <w:ilvl w:val="2"/>
          <w:numId w:val="1"/>
        </w:numPr>
        <w:rPr/>
      </w:pPr>
      <w:bookmarkStart w:id="115" w:name="__RefHeading___Toc4510039_211673320"/>
      <w:bookmarkStart w:id="116" w:name="_Toc44"/>
      <w:bookmarkEnd w:id="115"/>
      <w:r>
        <w:rPr>
          <w:rtl w:val="true"/>
        </w:rPr>
        <w:t>«</w:t>
      </w:r>
      <w:r>
        <w:rPr>
          <w:rtl w:val="true"/>
        </w:rPr>
        <w:t>ل</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افریقی،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bookmarkStart w:id="117" w:name="pg519_12097"/>
    </w:p>
    <w:p>
      <w:pPr>
        <w:pStyle w:val="Heading3"/>
        <w:numPr>
          <w:ilvl w:val="2"/>
          <w:numId w:val="1"/>
        </w:numPr>
        <w:rPr/>
      </w:pPr>
      <w:bookmarkStart w:id="118" w:name="__RefHeading___Toc4510041_211673320"/>
      <w:bookmarkStart w:id="119" w:name="_Toc45"/>
      <w:bookmarkEnd w:id="117"/>
      <w:bookmarkEnd w:id="118"/>
      <w:r>
        <w:rPr>
          <w:rtl w:val="true"/>
        </w:rPr>
        <w:t>«</w:t>
      </w:r>
      <w:r>
        <w:rPr>
          <w:rtl w:val="true"/>
        </w:rPr>
        <w:t>م</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مرقاة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قاری هروی، دار احیاء التراث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یعلی احمد بن علی تمیمی موصلی، دار المأمون للتراث،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دار المعرفه، بیروت، لبنان، چاپ اول،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المطالب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bookmarkStart w:id="120" w:name="pg519_12098"/>
    </w:p>
    <w:p>
      <w:pPr>
        <w:pStyle w:val="BookText"/>
        <w:rPr/>
      </w:pPr>
      <w:bookmarkEnd w:id="120"/>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لخمی طبرانی، دار احیاء التراث،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مسند 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 بن نصر کِسّی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السنّه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مکتبة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Heading3"/>
        <w:numPr>
          <w:ilvl w:val="2"/>
          <w:numId w:val="1"/>
        </w:numPr>
        <w:rPr/>
      </w:pPr>
      <w:bookmarkStart w:id="121" w:name="__RefHeading___Toc4510043_211673320"/>
      <w:bookmarkStart w:id="122" w:name="_Toc46"/>
      <w:bookmarkEnd w:id="121"/>
      <w:r>
        <w:rPr>
          <w:rtl w:val="true"/>
        </w:rPr>
        <w:t>«</w:t>
      </w:r>
      <w:r>
        <w:rPr>
          <w:rtl w:val="true"/>
        </w:rPr>
        <w:t>ن</w:t>
      </w:r>
      <w:r>
        <w:rPr>
          <w:rtl w:val="true"/>
        </w:rPr>
        <w:t>»</w:t>
      </w:r>
      <w:bookmarkEnd w:id="122"/>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علی حکیم ترمذی، دار نور اسلامی، بیروت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Glance on Narration of Two Great Things (Hadith)</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مسند ابن راهویه، به نقل از المطالب العالیه ابن حجر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مسند ابی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مصابیح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4815</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مسند عبد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احیاء المیت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تفسیر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21145</w:t>
      </w:r>
      <w:r>
        <w:rPr>
          <w:rFonts w:ascii="IRNazanin" w:hAnsi="IRNazanin" w:eastAsia="IRNazanin"/>
          <w:b w:val="false"/>
          <w:b w:val="false"/>
          <w:bCs w:val="false"/>
          <w:i w:val="false"/>
          <w:i w:val="false"/>
          <w:iCs w:val="false"/>
          <w:color w:val="333333"/>
          <w:sz w:val="20"/>
          <w:sz w:val="20"/>
          <w:szCs w:val="20"/>
          <w:rtl w:val="true"/>
        </w:rPr>
        <w:t>، کتاب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حدیث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سوره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این دو عنوان نیز در سلسله پژوهش های اعتقادی، جداگانه از همین نگارنده، نگارش یافته 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محدّثی بزرگ از محدّثان اهل سنّت است که این حدیث را در کتاب امالی خود صحیح دانسته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5070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به نقل از مسند ابن راهویه،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نوادر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به نقل از ابن ابی شیبه، کشف الاستار عن زوائد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محمّد حسین کاشف الغطاء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المتناهیه فی الاحادیث الواهیه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استجلاب ارتقاء الغرف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نوشتار طی سلسله پژوهش های اعتقادی، از همین نگارنده و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اقتداء به شیخین در ترازوی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فی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کتاب 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شرح المنهاج عبری فرغانی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الدّرّ النّضید من مجموعة الحفید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اسنی المطالب فی احادیث مختلفة المراتب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الفِصَل فی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نوشتار نیز به عنوان ششمین اثر در سلسله پژوهش های اعتقادی و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دستبردی در 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9371</Words>
  <Characters>36061</Characters>
  <CharactersWithSpaces>44828</CharactersWithSpaces>
  <Paragraphs>707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2026-08-16T06:28:50Z</dcterms:created>
  <dc:creator>ghaemiyeh.com</dc:creator>
  <dc:description/>
  <dc:language>en-US</dc:language>
  <cp:lastModifiedBy/>
  <dcterms:modified xsi:type="dcterms:W3CDTF">2026-08-16T09:58:53Z</dcterms:modified>
  <cp:revision>1</cp:revision>
  <dc:subject/>
  <dc:title>نگاهی به حدیث ثقلین</dc:title>
</cp:coreProperties>
</file>

<file path=docProps/custom.xml><?xml version="1.0" encoding="utf-8"?>
<Properties xmlns="http://schemas.openxmlformats.org/officeDocument/2006/custom-properties" xmlns:vt="http://schemas.openxmlformats.org/officeDocument/2006/docPropsVTypes"/>
</file>