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5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قاعده القرعه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20144_58195312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920146_581953129">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1920148_581953129">
            <w:r>
              <w:rPr>
                <w:webHidden/>
                <w:rStyle w:val="IndexLink"/>
                <w:rtl w:val="true"/>
              </w:rPr>
              <w:t>مقدمة المولف</w:t>
            </w:r>
            <w:r>
              <w:rPr>
                <w:rStyle w:val="IndexLink"/>
                <w:rtl w:val="true"/>
              </w:rPr>
              <w:tab/>
            </w:r>
            <w:r>
              <w:rPr>
                <w:rStyle w:val="IndexLink"/>
              </w:rPr>
              <w:t>9</w:t>
            </w:r>
          </w:hyperlink>
        </w:p>
        <w:p>
          <w:pPr>
            <w:pStyle w:val="Contents2"/>
            <w:tabs>
              <w:tab w:val="clear" w:pos="8743"/>
              <w:tab w:val="right" w:pos="9026" w:leader="dot"/>
            </w:tabs>
            <w:rPr/>
          </w:pPr>
          <w:hyperlink w:anchor="__RefHeading___Toc1920150_581953129">
            <w:r>
              <w:rPr>
                <w:webHidden/>
                <w:rStyle w:val="IndexLink"/>
                <w:rtl w:val="true"/>
              </w:rPr>
              <w:t xml:space="preserve">بعض النکات المهمّة فی القاعدة </w:t>
            </w:r>
            <w:r>
              <w:rPr>
                <w:rStyle w:val="IndexLink"/>
                <w:rtl w:val="true"/>
              </w:rPr>
              <w:t>(</w:t>
            </w:r>
            <w:r>
              <w:rPr>
                <w:rStyle w:val="IndexLink"/>
                <w:rtl w:val="true"/>
              </w:rPr>
              <w:t>القرعة</w:t>
            </w:r>
            <w:r>
              <w:rPr>
                <w:rStyle w:val="IndexLink"/>
                <w:rtl w:val="true"/>
              </w:rPr>
              <w:t>)</w:t>
              <w:tab/>
            </w:r>
            <w:r>
              <w:rPr>
                <w:rStyle w:val="IndexLink"/>
              </w:rPr>
              <w:t>11</w:t>
            </w:r>
          </w:hyperlink>
        </w:p>
        <w:p>
          <w:pPr>
            <w:pStyle w:val="Contents3"/>
            <w:tabs>
              <w:tab w:val="clear" w:pos="8459"/>
              <w:tab w:val="right" w:pos="9026" w:leader="dot"/>
            </w:tabs>
            <w:rPr/>
          </w:pPr>
          <w:hyperlink w:anchor="__RefHeading___Toc1920152_581953129">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1920154_581953129">
            <w:r>
              <w:rPr>
                <w:webHidden/>
                <w:rStyle w:val="IndexLink"/>
                <w:rtl w:val="true"/>
              </w:rPr>
              <w:t>الأولی</w:t>
            </w:r>
            <w:r>
              <w:rPr>
                <w:rStyle w:val="IndexLink"/>
                <w:rtl w:val="true"/>
              </w:rPr>
              <w:t xml:space="preserve">: </w:t>
            </w:r>
            <w:r>
              <w:rPr>
                <w:rStyle w:val="IndexLink"/>
                <w:rtl w:val="true"/>
              </w:rPr>
              <w:t>حقیقة القاعدة وأنّها شرعیّة تأسیسیّة أو عقلائیّة امضائیّة</w:t>
            </w:r>
            <w:r>
              <w:rPr>
                <w:rStyle w:val="IndexLink"/>
                <w:rtl w:val="true"/>
              </w:rPr>
              <w:tab/>
            </w:r>
            <w:r>
              <w:rPr>
                <w:rStyle w:val="IndexLink"/>
              </w:rPr>
              <w:t>11</w:t>
            </w:r>
          </w:hyperlink>
        </w:p>
        <w:p>
          <w:pPr>
            <w:pStyle w:val="Contents3"/>
            <w:tabs>
              <w:tab w:val="clear" w:pos="8459"/>
              <w:tab w:val="right" w:pos="9026" w:leader="dot"/>
            </w:tabs>
            <w:rPr/>
          </w:pPr>
          <w:hyperlink w:anchor="__RefHeading___Toc1920156_581953129">
            <w:r>
              <w:rPr>
                <w:webHidden/>
                <w:rStyle w:val="IndexLink"/>
                <w:rtl w:val="true"/>
              </w:rPr>
              <w:t>الثانیة</w:t>
            </w:r>
            <w:r>
              <w:rPr>
                <w:rStyle w:val="IndexLink"/>
                <w:rtl w:val="true"/>
              </w:rPr>
              <w:t xml:space="preserve">: </w:t>
            </w:r>
            <w:r>
              <w:rPr>
                <w:rStyle w:val="IndexLink"/>
                <w:rtl w:val="true"/>
              </w:rPr>
              <w:t>موارد جریان القاعدة اجمالاً</w:t>
            </w:r>
            <w:r>
              <w:rPr>
                <w:rStyle w:val="IndexLink"/>
                <w:rtl w:val="true"/>
              </w:rPr>
              <w:tab/>
            </w:r>
            <w:r>
              <w:rPr>
                <w:rStyle w:val="IndexLink"/>
              </w:rPr>
              <w:t>11</w:t>
            </w:r>
          </w:hyperlink>
        </w:p>
        <w:p>
          <w:pPr>
            <w:pStyle w:val="Contents3"/>
            <w:tabs>
              <w:tab w:val="clear" w:pos="8459"/>
              <w:tab w:val="right" w:pos="9026" w:leader="dot"/>
            </w:tabs>
            <w:rPr/>
          </w:pPr>
          <w:hyperlink w:anchor="__RefHeading___Toc1920158_581953129">
            <w:r>
              <w:rPr>
                <w:webHidden/>
                <w:rStyle w:val="IndexLink"/>
                <w:rtl w:val="true"/>
              </w:rPr>
              <w:t>الثالثة</w:t>
            </w:r>
            <w:r>
              <w:rPr>
                <w:rStyle w:val="IndexLink"/>
                <w:rtl w:val="true"/>
              </w:rPr>
              <w:t xml:space="preserve">: </w:t>
            </w:r>
            <w:r>
              <w:rPr>
                <w:rStyle w:val="IndexLink"/>
                <w:rtl w:val="true"/>
              </w:rPr>
              <w:t>هل تخرج القرعة عن کونها من القواعد بسبب التخصیصات الکثیرة</w:t>
            </w:r>
            <w:r>
              <w:rPr>
                <w:rStyle w:val="IndexLink"/>
                <w:rtl w:val="true"/>
              </w:rPr>
              <w:tab/>
            </w:r>
            <w:r>
              <w:rPr>
                <w:rStyle w:val="IndexLink"/>
              </w:rPr>
              <w:t>12</w:t>
            </w:r>
          </w:hyperlink>
        </w:p>
        <w:p>
          <w:pPr>
            <w:pStyle w:val="Contents3"/>
            <w:tabs>
              <w:tab w:val="clear" w:pos="8459"/>
              <w:tab w:val="right" w:pos="9026" w:leader="dot"/>
            </w:tabs>
            <w:rPr/>
          </w:pPr>
          <w:hyperlink w:anchor="__RefHeading___Toc1920160_581953129">
            <w:r>
              <w:rPr>
                <w:webHidden/>
                <w:rStyle w:val="IndexLink"/>
                <w:rtl w:val="true"/>
              </w:rPr>
              <w:t>الرابعة</w:t>
            </w:r>
            <w:r>
              <w:rPr>
                <w:rStyle w:val="IndexLink"/>
                <w:rtl w:val="true"/>
              </w:rPr>
              <w:t xml:space="preserve">: </w:t>
            </w:r>
            <w:r>
              <w:rPr>
                <w:rStyle w:val="IndexLink"/>
                <w:rtl w:val="true"/>
              </w:rPr>
              <w:t>هل القرعة من الأمارات أو الاُصول ؟</w:t>
            </w:r>
            <w:r>
              <w:rPr>
                <w:rStyle w:val="IndexLink"/>
                <w:rtl w:val="true"/>
              </w:rPr>
              <w:tab/>
            </w:r>
            <w:r>
              <w:rPr>
                <w:rStyle w:val="IndexLink"/>
              </w:rPr>
              <w:t>13</w:t>
            </w:r>
          </w:hyperlink>
        </w:p>
        <w:p>
          <w:pPr>
            <w:pStyle w:val="Contents3"/>
            <w:tabs>
              <w:tab w:val="clear" w:pos="8459"/>
              <w:tab w:val="right" w:pos="9026" w:leader="dot"/>
            </w:tabs>
            <w:rPr/>
          </w:pPr>
          <w:hyperlink w:anchor="__RefHeading___Toc1920162_581953129">
            <w:r>
              <w:rPr>
                <w:webHidden/>
                <w:rStyle w:val="IndexLink"/>
                <w:rtl w:val="true"/>
              </w:rPr>
              <w:t>الخامسة</w:t>
            </w:r>
            <w:r>
              <w:rPr>
                <w:rStyle w:val="IndexLink"/>
                <w:rtl w:val="true"/>
              </w:rPr>
              <w:t xml:space="preserve">: </w:t>
            </w:r>
            <w:r>
              <w:rPr>
                <w:rStyle w:val="IndexLink"/>
                <w:rtl w:val="true"/>
              </w:rPr>
              <w:t>هل یمکن تشخیص معانی الألفاظ بالقرعة ؟</w:t>
            </w:r>
            <w:r>
              <w:rPr>
                <w:rStyle w:val="IndexLink"/>
                <w:rtl w:val="true"/>
              </w:rPr>
              <w:tab/>
            </w:r>
            <w:r>
              <w:rPr>
                <w:rStyle w:val="IndexLink"/>
              </w:rPr>
              <w:t>13</w:t>
            </w:r>
          </w:hyperlink>
        </w:p>
        <w:p>
          <w:pPr>
            <w:pStyle w:val="Contents3"/>
            <w:tabs>
              <w:tab w:val="clear" w:pos="8459"/>
              <w:tab w:val="right" w:pos="9026" w:leader="dot"/>
            </w:tabs>
            <w:rPr/>
          </w:pPr>
          <w:hyperlink w:anchor="__RefHeading___Toc1920164_581953129">
            <w:r>
              <w:rPr>
                <w:webHidden/>
                <w:rStyle w:val="IndexLink"/>
                <w:rtl w:val="true"/>
              </w:rPr>
              <w:t>السادسة</w:t>
            </w:r>
            <w:r>
              <w:rPr>
                <w:rStyle w:val="IndexLink"/>
                <w:rtl w:val="true"/>
              </w:rPr>
              <w:t xml:space="preserve">: </w:t>
            </w:r>
            <w:r>
              <w:rPr>
                <w:rStyle w:val="IndexLink"/>
                <w:rtl w:val="true"/>
              </w:rPr>
              <w:t>هل هی عزیمة أو رخصته ؟</w:t>
            </w:r>
            <w:r>
              <w:rPr>
                <w:rStyle w:val="IndexLink"/>
                <w:rtl w:val="true"/>
              </w:rPr>
              <w:tab/>
            </w:r>
            <w:r>
              <w:rPr>
                <w:rStyle w:val="IndexLink"/>
              </w:rPr>
              <w:t>13</w:t>
            </w:r>
          </w:hyperlink>
        </w:p>
        <w:p>
          <w:pPr>
            <w:pStyle w:val="Contents3"/>
            <w:tabs>
              <w:tab w:val="clear" w:pos="8459"/>
              <w:tab w:val="right" w:pos="9026" w:leader="dot"/>
            </w:tabs>
            <w:rPr/>
          </w:pPr>
          <w:hyperlink w:anchor="__RefHeading___Toc1920166_581953129">
            <w:r>
              <w:rPr>
                <w:webHidden/>
                <w:rStyle w:val="IndexLink"/>
                <w:rtl w:val="true"/>
              </w:rPr>
              <w:t>السابعة</w:t>
            </w:r>
            <w:r>
              <w:rPr>
                <w:rStyle w:val="IndexLink"/>
                <w:rtl w:val="true"/>
              </w:rPr>
              <w:t xml:space="preserve">: </w:t>
            </w:r>
            <w:r>
              <w:rPr>
                <w:rStyle w:val="IndexLink"/>
                <w:rtl w:val="true"/>
              </w:rPr>
              <w:t>هل هی مختصّة بما إذا کان الواقع معیّنا ویکون الاشتباه بحسب الظاهر، أو تجری فیما إذا کان الواقع أیضاً غیر معیّناً؟</w:t>
            </w:r>
            <w:r>
              <w:rPr>
                <w:rStyle w:val="IndexLink"/>
                <w:rtl w:val="true"/>
              </w:rPr>
              <w:tab/>
            </w:r>
            <w:r>
              <w:rPr>
                <w:rStyle w:val="IndexLink"/>
              </w:rPr>
              <w:t>13</w:t>
            </w:r>
          </w:hyperlink>
        </w:p>
        <w:p>
          <w:pPr>
            <w:pStyle w:val="Contents3"/>
            <w:tabs>
              <w:tab w:val="clear" w:pos="8459"/>
              <w:tab w:val="right" w:pos="9026" w:leader="dot"/>
            </w:tabs>
            <w:rPr/>
          </w:pPr>
          <w:hyperlink w:anchor="__RefHeading___Toc1920168_581953129">
            <w:r>
              <w:rPr>
                <w:webHidden/>
                <w:rStyle w:val="IndexLink"/>
                <w:rtl w:val="true"/>
              </w:rPr>
              <w:t>الثامنة</w:t>
            </w:r>
            <w:r>
              <w:rPr>
                <w:rStyle w:val="IndexLink"/>
                <w:rtl w:val="true"/>
              </w:rPr>
              <w:t xml:space="preserve">: </w:t>
            </w:r>
            <w:r>
              <w:rPr>
                <w:rStyle w:val="IndexLink"/>
                <w:rtl w:val="true"/>
              </w:rPr>
              <w:t>هل تختصّ اجرائها بالإمام علیه السلام أم لا؟</w:t>
            </w:r>
            <w:r>
              <w:rPr>
                <w:rStyle w:val="IndexLink"/>
                <w:rtl w:val="true"/>
              </w:rPr>
              <w:tab/>
            </w:r>
            <w:r>
              <w:rPr>
                <w:rStyle w:val="IndexLink"/>
              </w:rPr>
              <w:t>13</w:t>
            </w:r>
          </w:hyperlink>
        </w:p>
        <w:p>
          <w:pPr>
            <w:pStyle w:val="Contents2"/>
            <w:tabs>
              <w:tab w:val="clear" w:pos="8743"/>
              <w:tab w:val="right" w:pos="9026" w:leader="dot"/>
            </w:tabs>
            <w:rPr/>
          </w:pPr>
          <w:hyperlink w:anchor="__RefHeading___Toc1920170_581953129">
            <w:r>
              <w:rPr>
                <w:webHidden/>
                <w:rStyle w:val="IndexLink"/>
                <w:rtl w:val="true"/>
              </w:rPr>
              <w:t>بعض موارد جریان القرعة</w:t>
            </w:r>
            <w:r>
              <w:rPr>
                <w:rStyle w:val="IndexLink"/>
                <w:rtl w:val="true"/>
              </w:rPr>
              <w:tab/>
            </w:r>
            <w:r>
              <w:rPr>
                <w:rStyle w:val="IndexLink"/>
              </w:rPr>
              <w:t>13</w:t>
            </w:r>
          </w:hyperlink>
        </w:p>
        <w:p>
          <w:pPr>
            <w:pStyle w:val="Contents3"/>
            <w:tabs>
              <w:tab w:val="clear" w:pos="8459"/>
              <w:tab w:val="right" w:pos="9026" w:leader="dot"/>
            </w:tabs>
            <w:rPr/>
          </w:pPr>
          <w:hyperlink w:anchor="__RefHeading___Toc1920172_581953129">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1920174_581953129">
            <w:r>
              <w:rPr>
                <w:webHidden/>
                <w:rStyle w:val="IndexLink"/>
              </w:rPr>
              <w:t>1</w:t>
            </w:r>
            <w:r>
              <w:rPr>
                <w:rStyle w:val="IndexLink"/>
                <w:rtl w:val="true"/>
              </w:rPr>
              <w:t xml:space="preserve"> - </w:t>
            </w:r>
            <w:r>
              <w:rPr>
                <w:rStyle w:val="IndexLink"/>
                <w:rtl w:val="true"/>
              </w:rPr>
              <w:t>الخنثی المشکل من جهة جواز تغسیله بید الرجل أو المرئة</w:t>
            </w:r>
            <w:r>
              <w:rPr>
                <w:rStyle w:val="IndexLink"/>
                <w:rtl w:val="true"/>
              </w:rPr>
              <w:tab/>
            </w:r>
            <w:r>
              <w:rPr>
                <w:rStyle w:val="IndexLink"/>
              </w:rPr>
              <w:t>14</w:t>
            </w:r>
          </w:hyperlink>
        </w:p>
        <w:p>
          <w:pPr>
            <w:pStyle w:val="Contents3"/>
            <w:tabs>
              <w:tab w:val="clear" w:pos="8459"/>
              <w:tab w:val="right" w:pos="9026" w:leader="dot"/>
            </w:tabs>
            <w:rPr/>
          </w:pPr>
          <w:hyperlink w:anchor="__RefHeading___Toc1920176_581953129">
            <w:r>
              <w:rPr>
                <w:webHidden/>
                <w:rStyle w:val="IndexLink"/>
              </w:rPr>
              <w:t>2</w:t>
            </w:r>
            <w:r>
              <w:rPr>
                <w:rStyle w:val="IndexLink"/>
                <w:rtl w:val="true"/>
              </w:rPr>
              <w:t xml:space="preserve"> - </w:t>
            </w:r>
            <w:r>
              <w:rPr>
                <w:rStyle w:val="IndexLink"/>
                <w:rtl w:val="true"/>
              </w:rPr>
              <w:t>لو اجتمع میّت و جنب و محدث ویکون الماء کافیاً لأحدهم</w:t>
            </w:r>
            <w:r>
              <w:rPr>
                <w:rStyle w:val="IndexLink"/>
                <w:rtl w:val="true"/>
              </w:rPr>
              <w:tab/>
            </w:r>
            <w:r>
              <w:rPr>
                <w:rStyle w:val="IndexLink"/>
              </w:rPr>
              <w:t>15</w:t>
            </w:r>
          </w:hyperlink>
        </w:p>
        <w:p>
          <w:pPr>
            <w:pStyle w:val="Contents3"/>
            <w:tabs>
              <w:tab w:val="clear" w:pos="8459"/>
              <w:tab w:val="right" w:pos="9026" w:leader="dot"/>
            </w:tabs>
            <w:rPr/>
          </w:pPr>
          <w:hyperlink w:anchor="__RefHeading___Toc1920178_581953129">
            <w:r>
              <w:rPr>
                <w:webHidden/>
                <w:rStyle w:val="IndexLink"/>
              </w:rPr>
              <w:t>3</w:t>
            </w:r>
            <w:r>
              <w:rPr>
                <w:rStyle w:val="IndexLink"/>
                <w:rtl w:val="true"/>
              </w:rPr>
              <w:t xml:space="preserve"> - </w:t>
            </w:r>
            <w:r>
              <w:rPr>
                <w:rStyle w:val="IndexLink"/>
                <w:rtl w:val="true"/>
              </w:rPr>
              <w:t>فی مسألة القبلة عند سید ابن طاوس</w:t>
            </w:r>
            <w:r>
              <w:rPr>
                <w:rStyle w:val="IndexLink"/>
                <w:rtl w:val="true"/>
              </w:rPr>
              <w:tab/>
            </w:r>
            <w:r>
              <w:rPr>
                <w:rStyle w:val="IndexLink"/>
              </w:rPr>
              <w:t>15</w:t>
            </w:r>
          </w:hyperlink>
        </w:p>
        <w:p>
          <w:pPr>
            <w:pStyle w:val="Contents3"/>
            <w:tabs>
              <w:tab w:val="clear" w:pos="8459"/>
              <w:tab w:val="right" w:pos="9026" w:leader="dot"/>
            </w:tabs>
            <w:rPr/>
          </w:pPr>
          <w:hyperlink w:anchor="__RefHeading___Toc1920180_581953129">
            <w:r>
              <w:rPr>
                <w:webHidden/>
                <w:rStyle w:val="IndexLink"/>
              </w:rPr>
              <w:t>4</w:t>
            </w:r>
            <w:r>
              <w:rPr>
                <w:rStyle w:val="IndexLink"/>
                <w:rtl w:val="true"/>
              </w:rPr>
              <w:t xml:space="preserve"> - </w:t>
            </w:r>
            <w:r>
              <w:rPr>
                <w:rStyle w:val="IndexLink"/>
                <w:rtl w:val="true"/>
              </w:rPr>
              <w:t>جریان القرعة فی الأحکام الشرعیّة عند بعض وعدم جریانها عند بعض</w:t>
            </w:r>
            <w:r>
              <w:rPr>
                <w:rStyle w:val="IndexLink"/>
                <w:rtl w:val="true"/>
              </w:rPr>
              <w:tab/>
            </w:r>
            <w:r>
              <w:rPr>
                <w:rStyle w:val="IndexLink"/>
              </w:rPr>
              <w:t>17</w:t>
            </w:r>
          </w:hyperlink>
        </w:p>
        <w:p>
          <w:pPr>
            <w:pStyle w:val="Contents3"/>
            <w:tabs>
              <w:tab w:val="clear" w:pos="8459"/>
              <w:tab w:val="right" w:pos="9026" w:leader="dot"/>
            </w:tabs>
            <w:rPr/>
          </w:pPr>
          <w:hyperlink w:anchor="__RefHeading___Toc1920182_581953129">
            <w:r>
              <w:rPr>
                <w:webHidden/>
                <w:rStyle w:val="IndexLink"/>
              </w:rPr>
              <w:t>5</w:t>
            </w:r>
            <w:r>
              <w:rPr>
                <w:rStyle w:val="IndexLink"/>
                <w:rtl w:val="true"/>
              </w:rPr>
              <w:t xml:space="preserve"> - </w:t>
            </w:r>
            <w:r>
              <w:rPr>
                <w:rStyle w:val="IndexLink"/>
                <w:rtl w:val="true"/>
              </w:rPr>
              <w:t>جریان القرعة عند التشاحّ فی الأذان</w:t>
            </w:r>
            <w:r>
              <w:rPr>
                <w:rStyle w:val="IndexLink"/>
                <w:rtl w:val="true"/>
              </w:rPr>
              <w:tab/>
            </w:r>
            <w:r>
              <w:rPr>
                <w:rStyle w:val="IndexLink"/>
              </w:rPr>
              <w:t>18</w:t>
            </w:r>
          </w:hyperlink>
        </w:p>
        <w:p>
          <w:pPr>
            <w:pStyle w:val="Contents3"/>
            <w:tabs>
              <w:tab w:val="clear" w:pos="8459"/>
              <w:tab w:val="right" w:pos="9026" w:leader="dot"/>
            </w:tabs>
            <w:rPr/>
          </w:pPr>
          <w:hyperlink w:anchor="__RefHeading___Toc1920184_581953129">
            <w:r>
              <w:rPr>
                <w:webHidden/>
                <w:rStyle w:val="IndexLink"/>
              </w:rPr>
              <w:t>6</w:t>
            </w:r>
            <w:r>
              <w:rPr>
                <w:rStyle w:val="IndexLink"/>
                <w:rtl w:val="true"/>
              </w:rPr>
              <w:t xml:space="preserve"> - </w:t>
            </w:r>
            <w:r>
              <w:rPr>
                <w:rStyle w:val="IndexLink"/>
                <w:rtl w:val="true"/>
              </w:rPr>
              <w:t>جریان القرعة فی ردّ مال المقامرة إلی صاحبها لو لم یکن معیّناً</w:t>
            </w:r>
            <w:r>
              <w:rPr>
                <w:rStyle w:val="IndexLink"/>
                <w:rtl w:val="true"/>
              </w:rPr>
              <w:tab/>
            </w:r>
            <w:r>
              <w:rPr>
                <w:rStyle w:val="IndexLink"/>
              </w:rPr>
              <w:t>18</w:t>
            </w:r>
          </w:hyperlink>
        </w:p>
        <w:p>
          <w:pPr>
            <w:pStyle w:val="Contents3"/>
            <w:tabs>
              <w:tab w:val="clear" w:pos="8459"/>
              <w:tab w:val="right" w:pos="9026" w:leader="dot"/>
            </w:tabs>
            <w:rPr/>
          </w:pPr>
          <w:hyperlink w:anchor="__RefHeading___Toc1920186_581953129">
            <w:r>
              <w:rPr>
                <w:webHidden/>
                <w:rStyle w:val="IndexLink"/>
              </w:rPr>
              <w:t>7</w:t>
            </w:r>
            <w:r>
              <w:rPr>
                <w:rStyle w:val="IndexLink"/>
                <w:rtl w:val="true"/>
              </w:rPr>
              <w:t xml:space="preserve"> - </w:t>
            </w:r>
            <w:r>
              <w:rPr>
                <w:rStyle w:val="IndexLink"/>
                <w:rtl w:val="true"/>
              </w:rPr>
              <w:t>جریان القرعة عند مزاحمة حقّ استمتاع الزوج والمستأجر للإرضاع</w:t>
            </w:r>
            <w:r>
              <w:rPr>
                <w:rStyle w:val="IndexLink"/>
                <w:rtl w:val="true"/>
              </w:rPr>
              <w:tab/>
            </w:r>
            <w:r>
              <w:rPr>
                <w:rStyle w:val="IndexLink"/>
              </w:rPr>
              <w:t>19</w:t>
            </w:r>
          </w:hyperlink>
        </w:p>
        <w:p>
          <w:pPr>
            <w:pStyle w:val="Contents2"/>
            <w:tabs>
              <w:tab w:val="clear" w:pos="8743"/>
              <w:tab w:val="right" w:pos="9026" w:leader="dot"/>
            </w:tabs>
            <w:rPr/>
          </w:pPr>
          <w:hyperlink w:anchor="__RefHeading___Toc1920188_581953129">
            <w:r>
              <w:rPr>
                <w:webHidden/>
                <w:rStyle w:val="IndexLink"/>
                <w:rtl w:val="true"/>
              </w:rPr>
              <w:t>القرعة فی اللّغة</w:t>
            </w:r>
            <w:r>
              <w:rPr>
                <w:rStyle w:val="IndexLink"/>
                <w:rtl w:val="true"/>
              </w:rPr>
              <w:tab/>
            </w:r>
            <w:r>
              <w:rPr>
                <w:rStyle w:val="IndexLink"/>
              </w:rPr>
              <w:t>21</w:t>
            </w:r>
          </w:hyperlink>
        </w:p>
        <w:p>
          <w:pPr>
            <w:pStyle w:val="Contents2"/>
            <w:tabs>
              <w:tab w:val="clear" w:pos="8743"/>
              <w:tab w:val="right" w:pos="9026" w:leader="dot"/>
            </w:tabs>
            <w:rPr/>
          </w:pPr>
          <w:hyperlink w:anchor="__RefHeading___Toc1920190_581953129">
            <w:r>
              <w:rPr>
                <w:webHidden/>
                <w:rStyle w:val="IndexLink"/>
                <w:rtl w:val="true"/>
              </w:rPr>
              <w:t>أدلّة القرعة</w:t>
            </w:r>
            <w:r>
              <w:rPr>
                <w:rStyle w:val="IndexLink"/>
                <w:rtl w:val="true"/>
              </w:rPr>
              <w:tab/>
            </w:r>
            <w:r>
              <w:rPr>
                <w:rStyle w:val="IndexLink"/>
              </w:rPr>
              <w:t>21</w:t>
            </w:r>
          </w:hyperlink>
        </w:p>
        <w:p>
          <w:pPr>
            <w:pStyle w:val="Contents3"/>
            <w:tabs>
              <w:tab w:val="clear" w:pos="8459"/>
              <w:tab w:val="right" w:pos="9026" w:leader="dot"/>
            </w:tabs>
            <w:rPr/>
          </w:pPr>
          <w:hyperlink w:anchor="__RefHeading___Toc1920192_581953129">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1920194_581953129">
            <w:r>
              <w:rPr>
                <w:webHidden/>
                <w:rStyle w:val="IndexLink"/>
                <w:rtl w:val="true"/>
              </w:rPr>
              <w:t>الدلیل الأوّل</w:t>
            </w:r>
            <w:r>
              <w:rPr>
                <w:rStyle w:val="IndexLink"/>
                <w:rtl w:val="true"/>
              </w:rPr>
              <w:t xml:space="preserve">: </w:t>
            </w:r>
            <w:r>
              <w:rPr>
                <w:rStyle w:val="IndexLink"/>
                <w:rtl w:val="true"/>
              </w:rPr>
              <w:t>الکتاب</w:t>
            </w:r>
            <w:r>
              <w:rPr>
                <w:rStyle w:val="IndexLink"/>
                <w:rtl w:val="true"/>
              </w:rPr>
              <w:tab/>
            </w:r>
            <w:r>
              <w:rPr>
                <w:rStyle w:val="IndexLink"/>
              </w:rPr>
              <w:t>22</w:t>
            </w:r>
          </w:hyperlink>
        </w:p>
        <w:p>
          <w:pPr>
            <w:pStyle w:val="Contents4"/>
            <w:tabs>
              <w:tab w:val="clear" w:pos="8176"/>
              <w:tab w:val="right" w:pos="9026" w:leader="dot"/>
            </w:tabs>
            <w:rPr/>
          </w:pPr>
          <w:hyperlink w:anchor="__RefHeading___Toc1920196_581953129">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1920198_581953129">
            <w:r>
              <w:rPr>
                <w:webHidden/>
                <w:rStyle w:val="IndexLink"/>
                <w:rtl w:val="true"/>
              </w:rPr>
              <w:t>الآیة الاُولی</w:t>
            </w:r>
            <w:r>
              <w:rPr>
                <w:rStyle w:val="IndexLink"/>
                <w:rtl w:val="true"/>
              </w:rPr>
              <w:t xml:space="preserve">: </w:t>
            </w:r>
            <w:r>
              <w:rPr>
                <w:rStyle w:val="IndexLink"/>
                <w:rtl w:val="true"/>
              </w:rPr>
              <w:t xml:space="preserve">قوله تعالی </w:t>
            </w:r>
            <w:r>
              <w:rPr>
                <w:rStyle w:val="IndexLink"/>
                <w:rtl w:val="true"/>
              </w:rPr>
              <w:t>«</w:t>
            </w:r>
            <w:r>
              <w:rPr>
                <w:rStyle w:val="IndexLink"/>
                <w:rtl w:val="true"/>
              </w:rPr>
              <w:t>وإنّ یونس لمن المرسلین</w:t>
            </w:r>
            <w:r>
              <w:rPr>
                <w:rStyle w:val="IndexLink"/>
                <w:rtl w:val="true"/>
              </w:rPr>
              <w:t xml:space="preserve">... </w:t>
            </w:r>
            <w:r>
              <w:rPr>
                <w:rStyle w:val="IndexLink"/>
                <w:rtl w:val="true"/>
              </w:rPr>
              <w:t>یوم یبعثون</w:t>
            </w:r>
            <w:r>
              <w:rPr>
                <w:rStyle w:val="IndexLink"/>
                <w:rtl w:val="true"/>
              </w:rPr>
              <w:t>»</w:t>
              <w:tab/>
            </w:r>
            <w:r>
              <w:rPr>
                <w:rStyle w:val="IndexLink"/>
              </w:rPr>
              <w:t>22</w:t>
            </w:r>
          </w:hyperlink>
        </w:p>
        <w:p>
          <w:pPr>
            <w:pStyle w:val="Contents5"/>
            <w:tabs>
              <w:tab w:val="clear" w:pos="7892"/>
              <w:tab w:val="right" w:pos="9026" w:leader="dot"/>
            </w:tabs>
            <w:rPr/>
          </w:pPr>
          <w:hyperlink w:anchor="__RefHeading___Toc1920200_581953129">
            <w:r>
              <w:rPr>
                <w:webHidden/>
                <w:rStyle w:val="IndexLink"/>
                <w:rtl w:val="true"/>
              </w:rPr>
              <w:t>اشارة</w:t>
            </w:r>
            <w:r>
              <w:rPr>
                <w:rStyle w:val="IndexLink"/>
                <w:rtl w:val="true"/>
              </w:rPr>
              <w:tab/>
            </w:r>
            <w:r>
              <w:rPr>
                <w:rStyle w:val="IndexLink"/>
              </w:rPr>
              <w:t>22</w:t>
            </w:r>
          </w:hyperlink>
        </w:p>
        <w:p>
          <w:pPr>
            <w:pStyle w:val="Contents5"/>
            <w:tabs>
              <w:tab w:val="clear" w:pos="7892"/>
              <w:tab w:val="right" w:pos="9026" w:leader="dot"/>
            </w:tabs>
            <w:rPr/>
          </w:pPr>
          <w:hyperlink w:anchor="__RefHeading___Toc1920202_581953129">
            <w:r>
              <w:rPr>
                <w:webHidden/>
                <w:rStyle w:val="IndexLink"/>
                <w:rtl w:val="true"/>
              </w:rPr>
              <w:t>المراد من الإباق بالنسبة إلی یونس علیه السلام</w:t>
            </w:r>
            <w:r>
              <w:rPr>
                <w:rStyle w:val="IndexLink"/>
                <w:rtl w:val="true"/>
              </w:rPr>
              <w:tab/>
            </w:r>
            <w:r>
              <w:rPr>
                <w:rStyle w:val="IndexLink"/>
              </w:rPr>
              <w:t>22</w:t>
            </w:r>
          </w:hyperlink>
        </w:p>
        <w:p>
          <w:pPr>
            <w:pStyle w:val="Contents5"/>
            <w:tabs>
              <w:tab w:val="clear" w:pos="7892"/>
              <w:tab w:val="right" w:pos="9026" w:leader="dot"/>
            </w:tabs>
            <w:rPr/>
          </w:pPr>
          <w:hyperlink w:anchor="__RefHeading___Toc1920204_581953129">
            <w:r>
              <w:rPr>
                <w:webHidden/>
                <w:rStyle w:val="IndexLink"/>
                <w:rtl w:val="true"/>
              </w:rPr>
              <w:t>المنجی الحقیقی لیونس علیه السلام</w:t>
            </w:r>
            <w:r>
              <w:rPr>
                <w:rStyle w:val="IndexLink"/>
                <w:rtl w:val="true"/>
              </w:rPr>
              <w:tab/>
            </w:r>
            <w:r>
              <w:rPr>
                <w:rStyle w:val="IndexLink"/>
              </w:rPr>
              <w:t>23</w:t>
            </w:r>
          </w:hyperlink>
        </w:p>
        <w:p>
          <w:pPr>
            <w:pStyle w:val="Contents5"/>
            <w:tabs>
              <w:tab w:val="clear" w:pos="7892"/>
              <w:tab w:val="right" w:pos="9026" w:leader="dot"/>
            </w:tabs>
            <w:rPr/>
          </w:pPr>
          <w:hyperlink w:anchor="__RefHeading___Toc1920206_581953129">
            <w:r>
              <w:rPr>
                <w:webHidden/>
                <w:rStyle w:val="IndexLink"/>
                <w:rtl w:val="true"/>
              </w:rPr>
              <w:t>توضیح الآیة لغة وشأناً وتأریخاً</w:t>
            </w:r>
            <w:r>
              <w:rPr>
                <w:rStyle w:val="IndexLink"/>
                <w:rtl w:val="true"/>
              </w:rPr>
              <w:tab/>
            </w:r>
            <w:r>
              <w:rPr>
                <w:rStyle w:val="IndexLink"/>
              </w:rPr>
              <w:t>24</w:t>
            </w:r>
          </w:hyperlink>
        </w:p>
        <w:p>
          <w:pPr>
            <w:pStyle w:val="Contents5"/>
            <w:tabs>
              <w:tab w:val="clear" w:pos="7892"/>
              <w:tab w:val="right" w:pos="9026" w:leader="dot"/>
            </w:tabs>
            <w:rPr/>
          </w:pPr>
          <w:hyperlink w:anchor="__RefHeading___Toc1920208_581953129">
            <w:r>
              <w:rPr>
                <w:webHidden/>
                <w:rStyle w:val="IndexLink"/>
                <w:rtl w:val="true"/>
              </w:rPr>
              <w:t>تقریر الاستدلال بالآیة</w:t>
            </w:r>
            <w:r>
              <w:rPr>
                <w:rStyle w:val="IndexLink"/>
                <w:rtl w:val="true"/>
              </w:rPr>
              <w:tab/>
            </w:r>
            <w:r>
              <w:rPr>
                <w:rStyle w:val="IndexLink"/>
              </w:rPr>
              <w:t>27</w:t>
            </w:r>
          </w:hyperlink>
        </w:p>
        <w:p>
          <w:pPr>
            <w:pStyle w:val="Contents5"/>
            <w:tabs>
              <w:tab w:val="clear" w:pos="7892"/>
              <w:tab w:val="right" w:pos="9026" w:leader="dot"/>
            </w:tabs>
            <w:rPr/>
          </w:pPr>
          <w:hyperlink w:anchor="__RefHeading___Toc1920210_581953129">
            <w:r>
              <w:rPr>
                <w:webHidden/>
                <w:rStyle w:val="IndexLink"/>
                <w:rtl w:val="true"/>
              </w:rPr>
              <w:t>الإشکالات الثلاثة علی الاستدلال بالآیة</w:t>
            </w:r>
            <w:r>
              <w:rPr>
                <w:rStyle w:val="IndexLink"/>
                <w:rtl w:val="true"/>
              </w:rPr>
              <w:tab/>
            </w:r>
            <w:r>
              <w:rPr>
                <w:rStyle w:val="IndexLink"/>
              </w:rPr>
              <w:t>27</w:t>
            </w:r>
          </w:hyperlink>
        </w:p>
        <w:p>
          <w:pPr>
            <w:pStyle w:val="Contents5"/>
            <w:tabs>
              <w:tab w:val="clear" w:pos="7892"/>
              <w:tab w:val="right" w:pos="9026" w:leader="dot"/>
            </w:tabs>
            <w:rPr/>
          </w:pPr>
          <w:hyperlink w:anchor="__RefHeading___Toc1920212_581953129">
            <w:r>
              <w:rPr>
                <w:webHidden/>
                <w:rStyle w:val="IndexLink"/>
                <w:rtl w:val="true"/>
              </w:rPr>
              <w:t>هل یصحّ التمسک بالقرعة فیما کان نظیراً لمورد الآیة؟</w:t>
            </w:r>
            <w:r>
              <w:rPr>
                <w:rStyle w:val="IndexLink"/>
                <w:rtl w:val="true"/>
              </w:rPr>
              <w:tab/>
            </w:r>
            <w:r>
              <w:rPr>
                <w:rStyle w:val="IndexLink"/>
              </w:rPr>
              <w:t>28</w:t>
            </w:r>
          </w:hyperlink>
        </w:p>
        <w:p>
          <w:pPr>
            <w:pStyle w:val="Contents5"/>
            <w:tabs>
              <w:tab w:val="clear" w:pos="7892"/>
              <w:tab w:val="right" w:pos="9026" w:leader="dot"/>
            </w:tabs>
            <w:rPr/>
          </w:pPr>
          <w:hyperlink w:anchor="__RefHeading___Toc1920214_581953129">
            <w:r>
              <w:rPr>
                <w:webHidden/>
                <w:rStyle w:val="IndexLink"/>
                <w:rtl w:val="true"/>
              </w:rPr>
              <w:t>هل القرعة فی مورد الآیة مختصّ بما إذا کان المجهول معیّناً واقعاً ومجهولاً ظاهراً؟</w:t>
            </w:r>
            <w:r>
              <w:rPr>
                <w:rStyle w:val="IndexLink"/>
                <w:rtl w:val="true"/>
              </w:rPr>
              <w:tab/>
            </w:r>
            <w:r>
              <w:rPr>
                <w:rStyle w:val="IndexLink"/>
              </w:rPr>
              <w:t>29</w:t>
            </w:r>
          </w:hyperlink>
        </w:p>
        <w:p>
          <w:pPr>
            <w:pStyle w:val="Contents5"/>
            <w:tabs>
              <w:tab w:val="clear" w:pos="7892"/>
              <w:tab w:val="right" w:pos="9026" w:leader="dot"/>
            </w:tabs>
            <w:rPr/>
          </w:pPr>
          <w:hyperlink w:anchor="__RefHeading___Toc1920216_581953129">
            <w:r>
              <w:rPr>
                <w:webHidden/>
                <w:rStyle w:val="IndexLink"/>
                <w:rtl w:val="true"/>
              </w:rPr>
              <w:t>الروایات التی استدلّ فیها بالآیة</w:t>
            </w:r>
            <w:r>
              <w:rPr>
                <w:rStyle w:val="IndexLink"/>
                <w:rtl w:val="true"/>
              </w:rPr>
              <w:tab/>
            </w:r>
            <w:r>
              <w:rPr>
                <w:rStyle w:val="IndexLink"/>
              </w:rPr>
              <w:t>30</w:t>
            </w:r>
          </w:hyperlink>
        </w:p>
        <w:p>
          <w:pPr>
            <w:pStyle w:val="Contents5"/>
            <w:tabs>
              <w:tab w:val="clear" w:pos="7892"/>
              <w:tab w:val="right" w:pos="9026" w:leader="dot"/>
            </w:tabs>
            <w:rPr/>
          </w:pPr>
          <w:hyperlink w:anchor="__RefHeading___Toc1920218_581953129">
            <w:r>
              <w:rPr>
                <w:webHidden/>
                <w:rStyle w:val="IndexLink"/>
                <w:rtl w:val="true"/>
              </w:rPr>
              <w:t>تقریر الاستدلال بالآیة</w:t>
            </w:r>
            <w:r>
              <w:rPr>
                <w:rStyle w:val="IndexLink"/>
                <w:rtl w:val="true"/>
              </w:rPr>
              <w:tab/>
            </w:r>
            <w:r>
              <w:rPr>
                <w:rStyle w:val="IndexLink"/>
              </w:rPr>
              <w:t>32</w:t>
            </w:r>
          </w:hyperlink>
        </w:p>
        <w:p>
          <w:pPr>
            <w:pStyle w:val="Contents4"/>
            <w:tabs>
              <w:tab w:val="clear" w:pos="8176"/>
              <w:tab w:val="right" w:pos="9026" w:leader="dot"/>
            </w:tabs>
            <w:rPr/>
          </w:pPr>
          <w:hyperlink w:anchor="__RefHeading___Toc1920220_581953129">
            <w:r>
              <w:rPr>
                <w:webHidden/>
                <w:rStyle w:val="IndexLink"/>
                <w:rtl w:val="true"/>
              </w:rPr>
              <w:t>الآیة الثانیة</w:t>
            </w:r>
            <w:r>
              <w:rPr>
                <w:rStyle w:val="IndexLink"/>
                <w:rtl w:val="true"/>
              </w:rPr>
              <w:t xml:space="preserve">: </w:t>
            </w:r>
            <w:r>
              <w:rPr>
                <w:rStyle w:val="IndexLink"/>
                <w:rtl w:val="true"/>
              </w:rPr>
              <w:t xml:space="preserve">قوله تعالی </w:t>
            </w:r>
            <w:r>
              <w:rPr>
                <w:rStyle w:val="IndexLink"/>
                <w:rtl w:val="true"/>
              </w:rPr>
              <w:t>«</w:t>
            </w:r>
            <w:r>
              <w:rPr>
                <w:rStyle w:val="IndexLink"/>
                <w:rtl w:val="true"/>
              </w:rPr>
              <w:t>وما کنت لدیهم إذ یلقون مریم</w:t>
            </w:r>
            <w:r>
              <w:rPr>
                <w:rStyle w:val="IndexLink"/>
                <w:rtl w:val="true"/>
              </w:rPr>
              <w:t>»</w:t>
              <w:tab/>
            </w:r>
            <w:r>
              <w:rPr>
                <w:rStyle w:val="IndexLink"/>
              </w:rPr>
              <w:t>32</w:t>
            </w:r>
          </w:hyperlink>
        </w:p>
        <w:p>
          <w:pPr>
            <w:pStyle w:val="Contents5"/>
            <w:tabs>
              <w:tab w:val="clear" w:pos="7892"/>
              <w:tab w:val="right" w:pos="9026" w:leader="dot"/>
            </w:tabs>
            <w:rPr/>
          </w:pPr>
          <w:hyperlink w:anchor="__RefHeading___Toc1920222_581953129">
            <w:r>
              <w:rPr>
                <w:webHidden/>
                <w:rStyle w:val="IndexLink"/>
                <w:rtl w:val="true"/>
              </w:rPr>
              <w:t>اشارة</w:t>
            </w:r>
            <w:r>
              <w:rPr>
                <w:rStyle w:val="IndexLink"/>
                <w:rtl w:val="true"/>
              </w:rPr>
              <w:tab/>
            </w:r>
            <w:r>
              <w:rPr>
                <w:rStyle w:val="IndexLink"/>
              </w:rPr>
              <w:t>32</w:t>
            </w:r>
          </w:hyperlink>
        </w:p>
        <w:p>
          <w:pPr>
            <w:pStyle w:val="Contents5"/>
            <w:tabs>
              <w:tab w:val="clear" w:pos="7892"/>
              <w:tab w:val="right" w:pos="9026" w:leader="dot"/>
            </w:tabs>
            <w:rPr/>
          </w:pPr>
          <w:hyperlink w:anchor="__RefHeading___Toc1920224_581953129">
            <w:r>
              <w:rPr>
                <w:webHidden/>
                <w:rStyle w:val="IndexLink"/>
                <w:rtl w:val="true"/>
              </w:rPr>
              <w:t>الروایة التی استدل فیها بالآیة</w:t>
            </w:r>
            <w:r>
              <w:rPr>
                <w:rStyle w:val="IndexLink"/>
                <w:rtl w:val="true"/>
              </w:rPr>
              <w:tab/>
            </w:r>
            <w:r>
              <w:rPr>
                <w:rStyle w:val="IndexLink"/>
              </w:rPr>
              <w:t>34</w:t>
            </w:r>
          </w:hyperlink>
        </w:p>
        <w:p>
          <w:pPr>
            <w:pStyle w:val="Contents5"/>
            <w:tabs>
              <w:tab w:val="clear" w:pos="7892"/>
              <w:tab w:val="right" w:pos="9026" w:leader="dot"/>
            </w:tabs>
            <w:rPr/>
          </w:pPr>
          <w:hyperlink w:anchor="__RefHeading___Toc1920226_581953129">
            <w:r>
              <w:rPr>
                <w:webHidden/>
                <w:rStyle w:val="IndexLink"/>
                <w:rtl w:val="true"/>
              </w:rPr>
              <w:t>أفضلیّة الصدیقة الطاهرة علی مریم بنت عمران علیهما 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1920228_581953129">
            <w:r>
              <w:rPr>
                <w:webHidden/>
                <w:rStyle w:val="IndexLink"/>
                <w:rtl w:val="true"/>
              </w:rPr>
              <w:t>دلیل الثانی</w:t>
            </w:r>
            <w:r>
              <w:rPr>
                <w:rStyle w:val="IndexLink"/>
                <w:rtl w:val="true"/>
              </w:rPr>
              <w:t xml:space="preserve">: </w:t>
            </w:r>
            <w:r>
              <w:rPr>
                <w:rStyle w:val="IndexLink"/>
                <w:rtl w:val="true"/>
              </w:rPr>
              <w:t>السنة</w:t>
            </w:r>
            <w:r>
              <w:rPr>
                <w:rStyle w:val="IndexLink"/>
                <w:rtl w:val="true"/>
              </w:rPr>
              <w:tab/>
            </w:r>
            <w:r>
              <w:rPr>
                <w:rStyle w:val="IndexLink"/>
              </w:rPr>
              <w:t>36</w:t>
            </w:r>
          </w:hyperlink>
        </w:p>
        <w:p>
          <w:pPr>
            <w:pStyle w:val="Contents4"/>
            <w:tabs>
              <w:tab w:val="clear" w:pos="8176"/>
              <w:tab w:val="right" w:pos="9026" w:leader="dot"/>
            </w:tabs>
            <w:rPr/>
          </w:pPr>
          <w:hyperlink w:anchor="__RefHeading___Toc1920230_581953129">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1920232_581953129">
            <w:r>
              <w:rPr>
                <w:webHidden/>
                <w:rStyle w:val="IndexLink"/>
                <w:rtl w:val="true"/>
              </w:rPr>
              <w:t>وهی ثلاثة أقسام</w:t>
            </w:r>
            <w:r>
              <w:rPr>
                <w:rStyle w:val="IndexLink"/>
                <w:rtl w:val="true"/>
              </w:rPr>
              <w:tab/>
            </w:r>
            <w:r>
              <w:rPr>
                <w:rStyle w:val="IndexLink"/>
              </w:rPr>
              <w:t>36</w:t>
            </w:r>
          </w:hyperlink>
        </w:p>
        <w:p>
          <w:pPr>
            <w:pStyle w:val="Contents5"/>
            <w:tabs>
              <w:tab w:val="clear" w:pos="7892"/>
              <w:tab w:val="right" w:pos="9026" w:leader="dot"/>
            </w:tabs>
            <w:rPr/>
          </w:pPr>
          <w:hyperlink w:anchor="__RefHeading___Toc1920234_581953129">
            <w:r>
              <w:rPr>
                <w:webHidden/>
                <w:rStyle w:val="IndexLink"/>
                <w:rtl w:val="true"/>
              </w:rPr>
              <w:t>اشارة</w:t>
            </w:r>
            <w:r>
              <w:rPr>
                <w:rStyle w:val="IndexLink"/>
                <w:rtl w:val="true"/>
              </w:rPr>
              <w:tab/>
            </w:r>
            <w:r>
              <w:rPr>
                <w:rStyle w:val="IndexLink"/>
              </w:rPr>
              <w:t>36</w:t>
            </w:r>
          </w:hyperlink>
        </w:p>
        <w:p>
          <w:pPr>
            <w:pStyle w:val="Contents5"/>
            <w:tabs>
              <w:tab w:val="clear" w:pos="7892"/>
              <w:tab w:val="right" w:pos="9026" w:leader="dot"/>
            </w:tabs>
            <w:rPr/>
          </w:pPr>
          <w:hyperlink w:anchor="__RefHeading___Toc1920236_581953129">
            <w:r>
              <w:rPr>
                <w:webHidden/>
                <w:rStyle w:val="IndexLink"/>
                <w:rtl w:val="true"/>
              </w:rPr>
              <w:t>القسم الأوّل</w:t>
            </w:r>
            <w:r>
              <w:rPr>
                <w:rStyle w:val="IndexLink"/>
                <w:rtl w:val="true"/>
              </w:rPr>
              <w:t xml:space="preserve">: </w:t>
            </w:r>
            <w:r>
              <w:rPr>
                <w:rStyle w:val="IndexLink"/>
                <w:rtl w:val="true"/>
              </w:rPr>
              <w:t>الروایات العامّة التی تدلّ علی القرعة بنحو العموم</w:t>
            </w:r>
            <w:r>
              <w:rPr>
                <w:rStyle w:val="IndexLink"/>
                <w:rtl w:val="true"/>
              </w:rPr>
              <w:tab/>
            </w:r>
            <w:r>
              <w:rPr>
                <w:rStyle w:val="IndexLink"/>
              </w:rPr>
              <w:t>36</w:t>
            </w:r>
          </w:hyperlink>
        </w:p>
        <w:p>
          <w:pPr>
            <w:pStyle w:val="Contents6"/>
            <w:tabs>
              <w:tab w:val="clear" w:pos="7609"/>
              <w:tab w:val="right" w:pos="9026" w:leader="dot"/>
            </w:tabs>
            <w:rPr/>
          </w:pPr>
          <w:hyperlink w:anchor="__RefHeading___Toc1920238_581953129">
            <w:r>
              <w:rPr>
                <w:webHidden/>
                <w:rStyle w:val="IndexLink"/>
                <w:rtl w:val="true"/>
              </w:rPr>
              <w:t>اشارة</w:t>
            </w:r>
            <w:r>
              <w:rPr>
                <w:rStyle w:val="IndexLink"/>
                <w:rtl w:val="true"/>
              </w:rPr>
              <w:tab/>
            </w:r>
            <w:r>
              <w:rPr>
                <w:rStyle w:val="IndexLink"/>
              </w:rPr>
              <w:t>36</w:t>
            </w:r>
          </w:hyperlink>
        </w:p>
        <w:p>
          <w:pPr>
            <w:pStyle w:val="Contents6"/>
            <w:tabs>
              <w:tab w:val="clear" w:pos="7609"/>
              <w:tab w:val="right" w:pos="9026" w:leader="dot"/>
            </w:tabs>
            <w:rPr/>
          </w:pPr>
          <w:hyperlink w:anchor="__RefHeading___Toc1920240_581953129">
            <w:r>
              <w:rPr>
                <w:webHidden/>
                <w:rStyle w:val="IndexLink"/>
                <w:rtl w:val="true"/>
              </w:rPr>
              <w:t>الروایة الاُولی</w:t>
            </w:r>
            <w:r>
              <w:rPr>
                <w:rStyle w:val="IndexLink"/>
                <w:rtl w:val="true"/>
              </w:rPr>
              <w:t xml:space="preserve">: </w:t>
            </w:r>
            <w:r>
              <w:rPr>
                <w:rStyle w:val="IndexLink"/>
                <w:rtl w:val="true"/>
              </w:rPr>
              <w:t>روایة محمّد بن حکیم</w:t>
            </w:r>
            <w:r>
              <w:rPr>
                <w:rStyle w:val="IndexLink"/>
                <w:rtl w:val="true"/>
              </w:rPr>
              <w:tab/>
            </w:r>
            <w:r>
              <w:rPr>
                <w:rStyle w:val="IndexLink"/>
              </w:rPr>
              <w:t>36</w:t>
            </w:r>
          </w:hyperlink>
        </w:p>
        <w:p>
          <w:pPr>
            <w:pStyle w:val="Contents6"/>
            <w:tabs>
              <w:tab w:val="clear" w:pos="7609"/>
              <w:tab w:val="right" w:pos="9026" w:leader="dot"/>
            </w:tabs>
            <w:rPr/>
          </w:pPr>
          <w:hyperlink w:anchor="__RefHeading___Toc1920242_581953129">
            <w:r>
              <w:rPr>
                <w:webHidden/>
                <w:rStyle w:val="IndexLink"/>
                <w:rtl w:val="true"/>
              </w:rPr>
              <w:t>اشارة</w:t>
            </w:r>
            <w:r>
              <w:rPr>
                <w:rStyle w:val="IndexLink"/>
                <w:rtl w:val="true"/>
              </w:rPr>
              <w:tab/>
            </w:r>
            <w:r>
              <w:rPr>
                <w:rStyle w:val="IndexLink"/>
              </w:rPr>
              <w:t>36</w:t>
            </w:r>
          </w:hyperlink>
        </w:p>
        <w:p>
          <w:pPr>
            <w:pStyle w:val="Contents6"/>
            <w:tabs>
              <w:tab w:val="clear" w:pos="7609"/>
              <w:tab w:val="right" w:pos="9026" w:leader="dot"/>
            </w:tabs>
            <w:rPr/>
          </w:pPr>
          <w:hyperlink w:anchor="__RefHeading___Toc1920244_581953129">
            <w:r>
              <w:rPr>
                <w:webHidden/>
                <w:rStyle w:val="IndexLink"/>
                <w:rtl w:val="true"/>
              </w:rPr>
              <w:t xml:space="preserve">هل ورد فی هذه الروایات تعبیر </w:t>
            </w:r>
            <w:r>
              <w:rPr>
                <w:rStyle w:val="IndexLink"/>
                <w:rtl w:val="true"/>
              </w:rPr>
              <w:t>«</w:t>
            </w:r>
            <w:r>
              <w:rPr>
                <w:rStyle w:val="IndexLink"/>
                <w:rtl w:val="true"/>
              </w:rPr>
              <w:t>أمر مشکل أو مشتبه</w:t>
            </w:r>
            <w:r>
              <w:rPr>
                <w:rStyle w:val="IndexLink"/>
                <w:rtl w:val="true"/>
              </w:rPr>
              <w:t xml:space="preserve">» </w:t>
            </w:r>
            <w:r>
              <w:rPr>
                <w:rStyle w:val="IndexLink"/>
                <w:rtl w:val="true"/>
              </w:rPr>
              <w:t xml:space="preserve">أو التعبیر منحصر ب </w:t>
            </w:r>
            <w:r>
              <w:rPr>
                <w:rStyle w:val="IndexLink"/>
                <w:rtl w:val="true"/>
              </w:rPr>
              <w:t>«</w:t>
            </w:r>
            <w:r>
              <w:rPr>
                <w:rStyle w:val="IndexLink"/>
                <w:rtl w:val="true"/>
              </w:rPr>
              <w:t>المجهول</w:t>
            </w:r>
            <w:r>
              <w:rPr>
                <w:rStyle w:val="IndexLink"/>
                <w:rtl w:val="true"/>
              </w:rPr>
              <w:t>»</w:t>
            </w:r>
            <w:r>
              <w:rPr>
                <w:rStyle w:val="IndexLink"/>
                <w:rtl w:val="true"/>
              </w:rPr>
              <w:t>؟</w:t>
            </w:r>
            <w:r>
              <w:rPr>
                <w:rStyle w:val="IndexLink"/>
                <w:rtl w:val="true"/>
              </w:rPr>
              <w:tab/>
            </w:r>
            <w:r>
              <w:rPr>
                <w:rStyle w:val="IndexLink"/>
              </w:rPr>
              <w:t>38</w:t>
            </w:r>
          </w:hyperlink>
        </w:p>
        <w:p>
          <w:pPr>
            <w:pStyle w:val="Contents6"/>
            <w:tabs>
              <w:tab w:val="clear" w:pos="7609"/>
              <w:tab w:val="right" w:pos="9026" w:leader="dot"/>
            </w:tabs>
            <w:rPr/>
          </w:pPr>
          <w:hyperlink w:anchor="__RefHeading___Toc1920246_581953129">
            <w:r>
              <w:rPr>
                <w:webHidden/>
                <w:rStyle w:val="IndexLink"/>
                <w:rtl w:val="true"/>
              </w:rPr>
              <w:t xml:space="preserve">عبارات الاصحاب المشتملة علی تعبیر </w:t>
            </w:r>
            <w:r>
              <w:rPr>
                <w:rStyle w:val="IndexLink"/>
                <w:rtl w:val="true"/>
              </w:rPr>
              <w:t>«</w:t>
            </w:r>
            <w:r>
              <w:rPr>
                <w:rStyle w:val="IndexLink"/>
                <w:rtl w:val="true"/>
              </w:rPr>
              <w:t>أمر مشکل أو مشتبه</w:t>
            </w:r>
            <w:r>
              <w:rPr>
                <w:rStyle w:val="IndexLink"/>
                <w:rtl w:val="true"/>
              </w:rPr>
              <w:t>»</w:t>
              <w:tab/>
            </w:r>
            <w:r>
              <w:rPr>
                <w:rStyle w:val="IndexLink"/>
              </w:rPr>
              <w:t>38</w:t>
            </w:r>
          </w:hyperlink>
        </w:p>
        <w:p>
          <w:pPr>
            <w:pStyle w:val="Contents6"/>
            <w:tabs>
              <w:tab w:val="clear" w:pos="7609"/>
              <w:tab w:val="right" w:pos="9026" w:leader="dot"/>
            </w:tabs>
            <w:rPr/>
          </w:pPr>
          <w:hyperlink w:anchor="__RefHeading___Toc1920248_581953129">
            <w:r>
              <w:rPr>
                <w:webHidden/>
                <w:rStyle w:val="IndexLink"/>
                <w:rtl w:val="true"/>
              </w:rPr>
              <w:t xml:space="preserve">توجیه اشتمال عبارات الاصحاب علی تعبیر </w:t>
            </w:r>
            <w:r>
              <w:rPr>
                <w:rStyle w:val="IndexLink"/>
                <w:rtl w:val="true"/>
              </w:rPr>
              <w:t>«</w:t>
            </w:r>
            <w:r>
              <w:rPr>
                <w:rStyle w:val="IndexLink"/>
                <w:rtl w:val="true"/>
              </w:rPr>
              <w:t>أمر مشکل أو مشتبه</w:t>
            </w:r>
            <w:r>
              <w:rPr>
                <w:rStyle w:val="IndexLink"/>
                <w:rtl w:val="true"/>
              </w:rPr>
              <w:t xml:space="preserve">» </w:t>
            </w:r>
            <w:r>
              <w:rPr>
                <w:rStyle w:val="IndexLink"/>
                <w:rtl w:val="true"/>
              </w:rPr>
              <w:t>مع عدم کون هذا التعبیر فی الروایات</w:t>
            </w:r>
            <w:r>
              <w:rPr>
                <w:rStyle w:val="IndexLink"/>
                <w:rtl w:val="true"/>
              </w:rPr>
              <w:tab/>
            </w:r>
            <w:r>
              <w:rPr>
                <w:rStyle w:val="IndexLink"/>
              </w:rPr>
              <w:t>41</w:t>
            </w:r>
          </w:hyperlink>
        </w:p>
        <w:p>
          <w:pPr>
            <w:pStyle w:val="Contents6"/>
            <w:tabs>
              <w:tab w:val="clear" w:pos="7609"/>
              <w:tab w:val="right" w:pos="9026" w:leader="dot"/>
            </w:tabs>
            <w:rPr/>
          </w:pPr>
          <w:hyperlink w:anchor="__RefHeading___Toc1920250_581953129">
            <w:r>
              <w:rPr>
                <w:webHidden/>
                <w:rStyle w:val="IndexLink"/>
                <w:rtl w:val="true"/>
              </w:rPr>
              <w:t>الروایة الثانیة</w:t>
            </w:r>
            <w:r>
              <w:rPr>
                <w:rStyle w:val="IndexLink"/>
                <w:rtl w:val="true"/>
              </w:rPr>
              <w:t xml:space="preserve">: </w:t>
            </w:r>
            <w:r>
              <w:rPr>
                <w:rStyle w:val="IndexLink"/>
                <w:rtl w:val="true"/>
              </w:rPr>
              <w:t>مرسلة عاصم بن حمید</w:t>
            </w:r>
            <w:r>
              <w:rPr>
                <w:rStyle w:val="IndexLink"/>
                <w:rtl w:val="true"/>
              </w:rPr>
              <w:tab/>
            </w:r>
            <w:r>
              <w:rPr>
                <w:rStyle w:val="IndexLink"/>
              </w:rPr>
              <w:t>42</w:t>
            </w:r>
          </w:hyperlink>
        </w:p>
        <w:p>
          <w:pPr>
            <w:pStyle w:val="Contents6"/>
            <w:tabs>
              <w:tab w:val="clear" w:pos="7609"/>
              <w:tab w:val="right" w:pos="9026" w:leader="dot"/>
            </w:tabs>
            <w:rPr/>
          </w:pPr>
          <w:hyperlink w:anchor="__RefHeading___Toc1920252_581953129">
            <w:r>
              <w:rPr>
                <w:webHidden/>
                <w:rStyle w:val="IndexLink"/>
                <w:rtl w:val="true"/>
              </w:rPr>
              <w:t>الروایة الثالثة</w:t>
            </w:r>
            <w:r>
              <w:rPr>
                <w:rStyle w:val="IndexLink"/>
                <w:rtl w:val="true"/>
              </w:rPr>
              <w:t xml:space="preserve">: </w:t>
            </w:r>
            <w:r>
              <w:rPr>
                <w:rStyle w:val="IndexLink"/>
                <w:rtl w:val="true"/>
              </w:rPr>
              <w:t>روایة زرارة</w:t>
            </w:r>
            <w:r>
              <w:rPr>
                <w:rStyle w:val="IndexLink"/>
                <w:rtl w:val="true"/>
              </w:rPr>
              <w:tab/>
            </w:r>
            <w:r>
              <w:rPr>
                <w:rStyle w:val="IndexLink"/>
              </w:rPr>
              <w:t>43</w:t>
            </w:r>
          </w:hyperlink>
        </w:p>
        <w:p>
          <w:pPr>
            <w:pStyle w:val="Contents6"/>
            <w:tabs>
              <w:tab w:val="clear" w:pos="7609"/>
              <w:tab w:val="right" w:pos="9026" w:leader="dot"/>
            </w:tabs>
            <w:rPr/>
          </w:pPr>
          <w:hyperlink w:anchor="__RefHeading___Toc1920254_581953129">
            <w:r>
              <w:rPr>
                <w:webHidden/>
                <w:rStyle w:val="IndexLink"/>
                <w:rtl w:val="true"/>
              </w:rPr>
              <w:t>الروایة الرابعة</w:t>
            </w:r>
            <w:r>
              <w:rPr>
                <w:rStyle w:val="IndexLink"/>
                <w:rtl w:val="true"/>
              </w:rPr>
              <w:t xml:space="preserve">: </w:t>
            </w:r>
            <w:r>
              <w:rPr>
                <w:rStyle w:val="IndexLink"/>
                <w:rtl w:val="true"/>
              </w:rPr>
              <w:t>صحیحة سیابة و إبراهیم بن عمر</w:t>
            </w:r>
            <w:r>
              <w:rPr>
                <w:rStyle w:val="IndexLink"/>
                <w:rtl w:val="true"/>
              </w:rPr>
              <w:tab/>
            </w:r>
            <w:r>
              <w:rPr>
                <w:rStyle w:val="IndexLink"/>
              </w:rPr>
              <w:t>45</w:t>
            </w:r>
          </w:hyperlink>
        </w:p>
        <w:p>
          <w:pPr>
            <w:pStyle w:val="Contents6"/>
            <w:tabs>
              <w:tab w:val="clear" w:pos="7609"/>
              <w:tab w:val="right" w:pos="9026" w:leader="dot"/>
            </w:tabs>
            <w:rPr/>
          </w:pPr>
          <w:hyperlink w:anchor="__RefHeading___Toc1920256_581953129">
            <w:r>
              <w:rPr>
                <w:webHidden/>
                <w:rStyle w:val="IndexLink"/>
                <w:rtl w:val="true"/>
              </w:rPr>
              <w:t>الروایة الخامسة</w:t>
            </w:r>
            <w:r>
              <w:rPr>
                <w:rStyle w:val="IndexLink"/>
                <w:rtl w:val="true"/>
              </w:rPr>
              <w:t xml:space="preserve">: </w:t>
            </w:r>
            <w:r>
              <w:rPr>
                <w:rStyle w:val="IndexLink"/>
                <w:rtl w:val="true"/>
              </w:rPr>
              <w:t>مرسلة ثعلبة</w:t>
            </w:r>
            <w:r>
              <w:rPr>
                <w:rStyle w:val="IndexLink"/>
                <w:rtl w:val="true"/>
              </w:rPr>
              <w:tab/>
            </w:r>
            <w:r>
              <w:rPr>
                <w:rStyle w:val="IndexLink"/>
              </w:rPr>
              <w:t>47</w:t>
            </w:r>
          </w:hyperlink>
        </w:p>
        <w:p>
          <w:pPr>
            <w:pStyle w:val="Contents6"/>
            <w:tabs>
              <w:tab w:val="clear" w:pos="7609"/>
              <w:tab w:val="right" w:pos="9026" w:leader="dot"/>
            </w:tabs>
            <w:rPr/>
          </w:pPr>
          <w:hyperlink w:anchor="__RefHeading___Toc1920258_581953129">
            <w:r>
              <w:rPr>
                <w:webHidden/>
                <w:rStyle w:val="IndexLink"/>
                <w:rtl w:val="true"/>
              </w:rPr>
              <w:t>الروایة السادسة</w:t>
            </w:r>
            <w:r>
              <w:rPr>
                <w:rStyle w:val="IndexLink"/>
                <w:rtl w:val="true"/>
              </w:rPr>
              <w:t xml:space="preserve">: </w:t>
            </w:r>
            <w:r>
              <w:rPr>
                <w:rStyle w:val="IndexLink"/>
                <w:rtl w:val="true"/>
              </w:rPr>
              <w:t>روایة عباس بن هلال</w:t>
            </w:r>
            <w:r>
              <w:rPr>
                <w:rStyle w:val="IndexLink"/>
                <w:rtl w:val="true"/>
              </w:rPr>
              <w:tab/>
            </w:r>
            <w:r>
              <w:rPr>
                <w:rStyle w:val="IndexLink"/>
              </w:rPr>
              <w:t>49</w:t>
            </w:r>
          </w:hyperlink>
        </w:p>
        <w:p>
          <w:pPr>
            <w:pStyle w:val="Contents6"/>
            <w:tabs>
              <w:tab w:val="clear" w:pos="7609"/>
              <w:tab w:val="right" w:pos="9026" w:leader="dot"/>
            </w:tabs>
            <w:rPr/>
          </w:pPr>
          <w:hyperlink w:anchor="__RefHeading___Toc1920260_581953129">
            <w:r>
              <w:rPr>
                <w:webHidden/>
                <w:rStyle w:val="IndexLink"/>
                <w:rtl w:val="true"/>
              </w:rPr>
              <w:t>الروایة السابعة</w:t>
            </w:r>
            <w:r>
              <w:rPr>
                <w:rStyle w:val="IndexLink"/>
                <w:rtl w:val="true"/>
              </w:rPr>
              <w:t xml:space="preserve">: </w:t>
            </w:r>
            <w:r>
              <w:rPr>
                <w:rStyle w:val="IndexLink"/>
                <w:rtl w:val="true"/>
              </w:rPr>
              <w:t>صحیحة منصور بن حازم</w:t>
            </w:r>
            <w:r>
              <w:rPr>
                <w:rStyle w:val="IndexLink"/>
                <w:rtl w:val="true"/>
              </w:rPr>
              <w:tab/>
            </w:r>
            <w:r>
              <w:rPr>
                <w:rStyle w:val="IndexLink"/>
              </w:rPr>
              <w:t>50</w:t>
            </w:r>
          </w:hyperlink>
        </w:p>
        <w:p>
          <w:pPr>
            <w:pStyle w:val="Contents6"/>
            <w:tabs>
              <w:tab w:val="clear" w:pos="7609"/>
              <w:tab w:val="right" w:pos="9026" w:leader="dot"/>
            </w:tabs>
            <w:rPr/>
          </w:pPr>
          <w:hyperlink w:anchor="__RefHeading___Toc1920262_581953129">
            <w:r>
              <w:rPr>
                <w:webHidden/>
                <w:rStyle w:val="IndexLink"/>
                <w:rtl w:val="true"/>
              </w:rPr>
              <w:t>الروایة الثامنة</w:t>
            </w:r>
            <w:r>
              <w:rPr>
                <w:rStyle w:val="IndexLink"/>
                <w:rtl w:val="true"/>
              </w:rPr>
              <w:t xml:space="preserve">: </w:t>
            </w:r>
            <w:r>
              <w:rPr>
                <w:rStyle w:val="IndexLink"/>
                <w:rtl w:val="true"/>
              </w:rPr>
              <w:t>روایة فی دعائم الإسلام</w:t>
            </w:r>
            <w:r>
              <w:rPr>
                <w:rStyle w:val="IndexLink"/>
                <w:rtl w:val="true"/>
              </w:rPr>
              <w:tab/>
            </w:r>
            <w:r>
              <w:rPr>
                <w:rStyle w:val="IndexLink"/>
              </w:rPr>
              <w:t>51</w:t>
            </w:r>
          </w:hyperlink>
        </w:p>
        <w:p>
          <w:pPr>
            <w:pStyle w:val="Contents6"/>
            <w:tabs>
              <w:tab w:val="clear" w:pos="7609"/>
              <w:tab w:val="right" w:pos="9026" w:leader="dot"/>
            </w:tabs>
            <w:rPr/>
          </w:pPr>
          <w:hyperlink w:anchor="__RefHeading___Toc1920264_581953129">
            <w:r>
              <w:rPr>
                <w:webHidden/>
                <w:rStyle w:val="IndexLink"/>
                <w:rtl w:val="true"/>
              </w:rPr>
              <w:t>الروایة التاسعة</w:t>
            </w:r>
            <w:r>
              <w:rPr>
                <w:rStyle w:val="IndexLink"/>
                <w:rtl w:val="true"/>
              </w:rPr>
              <w:t xml:space="preserve">: </w:t>
            </w:r>
            <w:r>
              <w:rPr>
                <w:rStyle w:val="IndexLink"/>
                <w:rtl w:val="true"/>
              </w:rPr>
              <w:t>روایة عبد الرحیم</w:t>
            </w:r>
            <w:r>
              <w:rPr>
                <w:rStyle w:val="IndexLink"/>
                <w:rtl w:val="true"/>
              </w:rPr>
              <w:tab/>
            </w:r>
            <w:r>
              <w:rPr>
                <w:rStyle w:val="IndexLink"/>
              </w:rPr>
              <w:t>51</w:t>
            </w:r>
          </w:hyperlink>
        </w:p>
        <w:p>
          <w:pPr>
            <w:pStyle w:val="Contents6"/>
            <w:tabs>
              <w:tab w:val="clear" w:pos="7609"/>
              <w:tab w:val="right" w:pos="9026" w:leader="dot"/>
            </w:tabs>
            <w:rPr/>
          </w:pPr>
          <w:hyperlink w:anchor="__RefHeading___Toc1920266_581953129">
            <w:r>
              <w:rPr>
                <w:webHidden/>
                <w:rStyle w:val="IndexLink"/>
                <w:rtl w:val="true"/>
              </w:rPr>
              <w:t>الروایة العاشرة</w:t>
            </w:r>
            <w:r>
              <w:rPr>
                <w:rStyle w:val="IndexLink"/>
                <w:rtl w:val="true"/>
              </w:rPr>
              <w:t xml:space="preserve">: </w:t>
            </w:r>
            <w:r>
              <w:rPr>
                <w:rStyle w:val="IndexLink"/>
                <w:rtl w:val="true"/>
              </w:rPr>
              <w:t>روایة أبی بصیر</w:t>
            </w:r>
            <w:r>
              <w:rPr>
                <w:rStyle w:val="IndexLink"/>
                <w:rtl w:val="true"/>
              </w:rPr>
              <w:tab/>
            </w:r>
            <w:r>
              <w:rPr>
                <w:rStyle w:val="IndexLink"/>
              </w:rPr>
              <w:t>52</w:t>
            </w:r>
          </w:hyperlink>
        </w:p>
        <w:p>
          <w:pPr>
            <w:pStyle w:val="Contents5"/>
            <w:tabs>
              <w:tab w:val="clear" w:pos="7892"/>
              <w:tab w:val="right" w:pos="9026" w:leader="dot"/>
            </w:tabs>
            <w:rPr/>
          </w:pPr>
          <w:hyperlink w:anchor="__RefHeading___Toc1920268_581953129">
            <w:r>
              <w:rPr>
                <w:webHidden/>
                <w:rStyle w:val="IndexLink"/>
                <w:rtl w:val="true"/>
              </w:rPr>
              <w:t>القسم الثانی</w:t>
            </w:r>
            <w:r>
              <w:rPr>
                <w:rStyle w:val="IndexLink"/>
                <w:rtl w:val="true"/>
              </w:rPr>
              <w:t xml:space="preserve">: </w:t>
            </w:r>
            <w:r>
              <w:rPr>
                <w:rStyle w:val="IndexLink"/>
                <w:rtl w:val="true"/>
              </w:rPr>
              <w:t>الروایات العامة بالنسبة إلی باب خاص، کالقضاء</w:t>
            </w:r>
            <w:r>
              <w:rPr>
                <w:rStyle w:val="IndexLink"/>
                <w:rtl w:val="true"/>
              </w:rPr>
              <w:t xml:space="preserve">. </w:t>
            </w:r>
            <w:r>
              <w:rPr>
                <w:rStyle w:val="IndexLink"/>
                <w:rtl w:val="true"/>
              </w:rPr>
              <w:t>وهی</w:t>
            </w:r>
            <w:r>
              <w:rPr>
                <w:rStyle w:val="IndexLink"/>
                <w:rtl w:val="true"/>
              </w:rPr>
              <w:t>:</w:t>
              <w:tab/>
            </w:r>
            <w:r>
              <w:rPr>
                <w:rStyle w:val="IndexLink"/>
              </w:rPr>
              <w:t>54</w:t>
            </w:r>
          </w:hyperlink>
        </w:p>
        <w:p>
          <w:pPr>
            <w:pStyle w:val="Contents6"/>
            <w:tabs>
              <w:tab w:val="clear" w:pos="7609"/>
              <w:tab w:val="right" w:pos="9026" w:leader="dot"/>
            </w:tabs>
            <w:rPr/>
          </w:pPr>
          <w:hyperlink w:anchor="__RefHeading___Toc1920270_581953129">
            <w:r>
              <w:rPr>
                <w:webHidden/>
                <w:rStyle w:val="IndexLink"/>
                <w:rtl w:val="true"/>
              </w:rPr>
              <w:t>اشارة</w:t>
            </w:r>
            <w:r>
              <w:rPr>
                <w:rStyle w:val="IndexLink"/>
                <w:rtl w:val="true"/>
              </w:rPr>
              <w:tab/>
            </w:r>
            <w:r>
              <w:rPr>
                <w:rStyle w:val="IndexLink"/>
              </w:rPr>
              <w:t>54</w:t>
            </w:r>
          </w:hyperlink>
        </w:p>
        <w:p>
          <w:pPr>
            <w:pStyle w:val="Contents6"/>
            <w:tabs>
              <w:tab w:val="clear" w:pos="7609"/>
              <w:tab w:val="right" w:pos="9026" w:leader="dot"/>
            </w:tabs>
            <w:rPr/>
          </w:pPr>
          <w:hyperlink w:anchor="__RefHeading___Toc1920272_581953129">
            <w:r>
              <w:rPr>
                <w:webHidden/>
                <w:rStyle w:val="IndexLink"/>
              </w:rPr>
              <w:t>1</w:t>
            </w:r>
            <w:r>
              <w:rPr>
                <w:rStyle w:val="IndexLink"/>
                <w:rtl w:val="true"/>
              </w:rPr>
              <w:t xml:space="preserve"> - </w:t>
            </w:r>
            <w:r>
              <w:rPr>
                <w:rStyle w:val="IndexLink"/>
                <w:rtl w:val="true"/>
              </w:rPr>
              <w:t>صحیحة داود بن سرحان</w:t>
            </w:r>
            <w:r>
              <w:rPr>
                <w:rStyle w:val="IndexLink"/>
                <w:rtl w:val="true"/>
              </w:rPr>
              <w:tab/>
            </w:r>
            <w:r>
              <w:rPr>
                <w:rStyle w:val="IndexLink"/>
              </w:rPr>
              <w:t>54</w:t>
            </w:r>
          </w:hyperlink>
        </w:p>
        <w:p>
          <w:pPr>
            <w:pStyle w:val="Contents6"/>
            <w:tabs>
              <w:tab w:val="clear" w:pos="7609"/>
              <w:tab w:val="right" w:pos="9026" w:leader="dot"/>
            </w:tabs>
            <w:rPr/>
          </w:pPr>
          <w:hyperlink w:anchor="__RefHeading___Toc1920274_581953129">
            <w:r>
              <w:rPr>
                <w:webHidden/>
                <w:rStyle w:val="IndexLink"/>
              </w:rPr>
              <w:t>2</w:t>
            </w:r>
            <w:r>
              <w:rPr>
                <w:rStyle w:val="IndexLink"/>
                <w:rtl w:val="true"/>
              </w:rPr>
              <w:t xml:space="preserve"> - </w:t>
            </w:r>
            <w:r>
              <w:rPr>
                <w:rStyle w:val="IndexLink"/>
                <w:rtl w:val="true"/>
              </w:rPr>
              <w:t>صحیحة الحلبی</w:t>
            </w:r>
            <w:r>
              <w:rPr>
                <w:rStyle w:val="IndexLink"/>
                <w:rtl w:val="true"/>
              </w:rPr>
              <w:tab/>
            </w:r>
            <w:r>
              <w:rPr>
                <w:rStyle w:val="IndexLink"/>
              </w:rPr>
              <w:t>54</w:t>
            </w:r>
          </w:hyperlink>
        </w:p>
        <w:p>
          <w:pPr>
            <w:pStyle w:val="Contents6"/>
            <w:tabs>
              <w:tab w:val="clear" w:pos="7609"/>
              <w:tab w:val="right" w:pos="9026" w:leader="dot"/>
            </w:tabs>
            <w:rPr/>
          </w:pPr>
          <w:hyperlink w:anchor="__RefHeading___Toc1920276_581953129">
            <w:r>
              <w:rPr>
                <w:webHidden/>
                <w:rStyle w:val="IndexLink"/>
              </w:rPr>
              <w:t>3</w:t>
            </w:r>
            <w:r>
              <w:rPr>
                <w:rStyle w:val="IndexLink"/>
                <w:rtl w:val="true"/>
              </w:rPr>
              <w:t xml:space="preserve"> - </w:t>
            </w:r>
            <w:r>
              <w:rPr>
                <w:rStyle w:val="IndexLink"/>
                <w:rtl w:val="true"/>
              </w:rPr>
              <w:t>صحیحة البصری</w:t>
            </w:r>
            <w:r>
              <w:rPr>
                <w:rStyle w:val="IndexLink"/>
                <w:rtl w:val="true"/>
              </w:rPr>
              <w:tab/>
            </w:r>
            <w:r>
              <w:rPr>
                <w:rStyle w:val="IndexLink"/>
              </w:rPr>
              <w:t>55</w:t>
            </w:r>
          </w:hyperlink>
        </w:p>
        <w:p>
          <w:pPr>
            <w:pStyle w:val="Contents5"/>
            <w:tabs>
              <w:tab w:val="clear" w:pos="7892"/>
              <w:tab w:val="right" w:pos="9026" w:leader="dot"/>
            </w:tabs>
            <w:rPr/>
          </w:pPr>
          <w:hyperlink w:anchor="__RefHeading___Toc1920278_581953129">
            <w:r>
              <w:rPr>
                <w:webHidden/>
                <w:rStyle w:val="IndexLink"/>
                <w:rtl w:val="true"/>
              </w:rPr>
              <w:t>القسم الثالث</w:t>
            </w:r>
            <w:r>
              <w:rPr>
                <w:rStyle w:val="IndexLink"/>
                <w:rtl w:val="true"/>
              </w:rPr>
              <w:t xml:space="preserve">: </w:t>
            </w:r>
            <w:r>
              <w:rPr>
                <w:rStyle w:val="IndexLink"/>
                <w:rtl w:val="true"/>
              </w:rPr>
              <w:t>الروایات الخاصّة، وهی تنقسم إلی عناوین</w:t>
            </w:r>
            <w:r>
              <w:rPr>
                <w:rStyle w:val="IndexLink"/>
                <w:rtl w:val="true"/>
              </w:rPr>
              <w:tab/>
            </w:r>
            <w:r>
              <w:rPr>
                <w:rStyle w:val="IndexLink"/>
              </w:rPr>
              <w:t>56</w:t>
            </w:r>
          </w:hyperlink>
        </w:p>
        <w:p>
          <w:pPr>
            <w:pStyle w:val="Contents6"/>
            <w:tabs>
              <w:tab w:val="clear" w:pos="7609"/>
              <w:tab w:val="right" w:pos="9026" w:leader="dot"/>
            </w:tabs>
            <w:rPr/>
          </w:pPr>
          <w:hyperlink w:anchor="__RefHeading___Toc1920280_581953129">
            <w:r>
              <w:rPr>
                <w:webHidden/>
                <w:rStyle w:val="IndexLink"/>
                <w:rtl w:val="true"/>
              </w:rPr>
              <w:t>اشارة</w:t>
            </w:r>
            <w:r>
              <w:rPr>
                <w:rStyle w:val="IndexLink"/>
                <w:rtl w:val="true"/>
              </w:rPr>
              <w:tab/>
            </w:r>
            <w:r>
              <w:rPr>
                <w:rStyle w:val="IndexLink"/>
              </w:rPr>
              <w:t>56</w:t>
            </w:r>
          </w:hyperlink>
        </w:p>
        <w:p>
          <w:pPr>
            <w:pStyle w:val="Contents6"/>
            <w:tabs>
              <w:tab w:val="clear" w:pos="7609"/>
              <w:tab w:val="right" w:pos="9026" w:leader="dot"/>
            </w:tabs>
            <w:rPr/>
          </w:pPr>
          <w:hyperlink w:anchor="__RefHeading___Toc1920282_581953129">
            <w:r>
              <w:rPr>
                <w:webHidden/>
                <w:rStyle w:val="IndexLink"/>
                <w:rtl w:val="true"/>
              </w:rPr>
              <w:t>العنوان الاوّل</w:t>
            </w:r>
            <w:r>
              <w:rPr>
                <w:rStyle w:val="IndexLink"/>
                <w:rtl w:val="true"/>
              </w:rPr>
              <w:t xml:space="preserve">: </w:t>
            </w:r>
            <w:r>
              <w:rPr>
                <w:rStyle w:val="IndexLink"/>
                <w:rtl w:val="true"/>
              </w:rPr>
              <w:t>ما ورد فی تعارض الشهود فی أمرأة، وفی مقدار الودیعة، وفی الدابّة</w:t>
            </w:r>
            <w:r>
              <w:rPr>
                <w:rStyle w:val="IndexLink"/>
                <w:rtl w:val="true"/>
              </w:rPr>
              <w:tab/>
            </w:r>
            <w:r>
              <w:rPr>
                <w:rStyle w:val="IndexLink"/>
              </w:rPr>
              <w:t>56</w:t>
            </w:r>
          </w:hyperlink>
        </w:p>
        <w:p>
          <w:pPr>
            <w:pStyle w:val="Contents6"/>
            <w:tabs>
              <w:tab w:val="clear" w:pos="7609"/>
              <w:tab w:val="right" w:pos="9026" w:leader="dot"/>
            </w:tabs>
            <w:rPr/>
          </w:pPr>
          <w:hyperlink w:anchor="__RefHeading___Toc1920284_581953129">
            <w:r>
              <w:rPr>
                <w:webHidden/>
                <w:rStyle w:val="IndexLink"/>
                <w:rtl w:val="true"/>
              </w:rPr>
              <w:t>العنوان الثانی</w:t>
            </w:r>
            <w:r>
              <w:rPr>
                <w:rStyle w:val="IndexLink"/>
                <w:rtl w:val="true"/>
              </w:rPr>
              <w:t xml:space="preserve">: </w:t>
            </w:r>
            <w:r>
              <w:rPr>
                <w:rStyle w:val="IndexLink"/>
                <w:rtl w:val="true"/>
              </w:rPr>
              <w:t>ما ورد فی الوصیّة بعتق بعض الممالیک أو ثلثهم</w:t>
            </w:r>
            <w:r>
              <w:rPr>
                <w:rStyle w:val="IndexLink"/>
                <w:rtl w:val="true"/>
              </w:rPr>
              <w:tab/>
            </w:r>
            <w:r>
              <w:rPr>
                <w:rStyle w:val="IndexLink"/>
              </w:rPr>
              <w:t>58</w:t>
            </w:r>
          </w:hyperlink>
        </w:p>
        <w:p>
          <w:pPr>
            <w:pStyle w:val="Contents6"/>
            <w:tabs>
              <w:tab w:val="clear" w:pos="7609"/>
              <w:tab w:val="right" w:pos="9026" w:leader="dot"/>
            </w:tabs>
            <w:rPr/>
          </w:pPr>
          <w:hyperlink w:anchor="__RefHeading___Toc1920286_581953129">
            <w:r>
              <w:rPr>
                <w:webHidden/>
                <w:rStyle w:val="IndexLink"/>
                <w:rtl w:val="true"/>
              </w:rPr>
              <w:t>العنوان الثالث</w:t>
            </w:r>
            <w:r>
              <w:rPr>
                <w:rStyle w:val="IndexLink"/>
                <w:rtl w:val="true"/>
              </w:rPr>
              <w:t xml:space="preserve">: </w:t>
            </w:r>
            <w:r>
              <w:rPr>
                <w:rStyle w:val="IndexLink"/>
                <w:rtl w:val="true"/>
              </w:rPr>
              <w:t>فیما إذا وقع العبد والحرّ والمشرک أو المسلم والیهودی والنصرانی علی امرأة فی طهر واحدٍ</w:t>
            </w:r>
            <w:r>
              <w:rPr>
                <w:rStyle w:val="IndexLink"/>
                <w:rtl w:val="true"/>
              </w:rPr>
              <w:tab/>
            </w:r>
            <w:r>
              <w:rPr>
                <w:rStyle w:val="IndexLink"/>
              </w:rPr>
              <w:t>61</w:t>
            </w:r>
          </w:hyperlink>
        </w:p>
        <w:p>
          <w:pPr>
            <w:pStyle w:val="Contents6"/>
            <w:tabs>
              <w:tab w:val="clear" w:pos="7609"/>
              <w:tab w:val="right" w:pos="9026" w:leader="dot"/>
            </w:tabs>
            <w:rPr/>
          </w:pPr>
          <w:hyperlink w:anchor="__RefHeading___Toc1920288_581953129">
            <w:r>
              <w:rPr>
                <w:webHidden/>
                <w:rStyle w:val="IndexLink"/>
                <w:rtl w:val="true"/>
              </w:rPr>
              <w:t>العنوان الرابع</w:t>
            </w:r>
            <w:r>
              <w:rPr>
                <w:rStyle w:val="IndexLink"/>
                <w:rtl w:val="true"/>
              </w:rPr>
              <w:t xml:space="preserve">: </w:t>
            </w:r>
            <w:r>
              <w:rPr>
                <w:rStyle w:val="IndexLink"/>
                <w:rtl w:val="true"/>
              </w:rPr>
              <w:t>فیما کان الولد مشتبهاً بین الحرّ والعبد</w:t>
            </w:r>
            <w:r>
              <w:rPr>
                <w:rStyle w:val="IndexLink"/>
                <w:rtl w:val="true"/>
              </w:rPr>
              <w:tab/>
            </w:r>
            <w:r>
              <w:rPr>
                <w:rStyle w:val="IndexLink"/>
              </w:rPr>
              <w:t>66</w:t>
            </w:r>
          </w:hyperlink>
        </w:p>
        <w:p>
          <w:pPr>
            <w:pStyle w:val="Contents6"/>
            <w:tabs>
              <w:tab w:val="clear" w:pos="7609"/>
              <w:tab w:val="right" w:pos="9026" w:leader="dot"/>
            </w:tabs>
            <w:rPr/>
          </w:pPr>
          <w:hyperlink w:anchor="__RefHeading___Toc1920290_581953129">
            <w:r>
              <w:rPr>
                <w:webHidden/>
                <w:rStyle w:val="IndexLink"/>
                <w:rtl w:val="true"/>
              </w:rPr>
              <w:t>العنوان الخامس</w:t>
            </w:r>
            <w:r>
              <w:rPr>
                <w:rStyle w:val="IndexLink"/>
                <w:rtl w:val="true"/>
              </w:rPr>
              <w:t xml:space="preserve">: </w:t>
            </w:r>
            <w:r>
              <w:rPr>
                <w:rStyle w:val="IndexLink"/>
                <w:rtl w:val="true"/>
              </w:rPr>
              <w:t>فیما ورد فی الغنم الموطوءة</w:t>
            </w:r>
            <w:r>
              <w:rPr>
                <w:rStyle w:val="IndexLink"/>
                <w:rtl w:val="true"/>
              </w:rPr>
              <w:tab/>
            </w:r>
            <w:r>
              <w:rPr>
                <w:rStyle w:val="IndexLink"/>
              </w:rPr>
              <w:t>67</w:t>
            </w:r>
          </w:hyperlink>
        </w:p>
        <w:p>
          <w:pPr>
            <w:pStyle w:val="Contents6"/>
            <w:tabs>
              <w:tab w:val="clear" w:pos="7609"/>
              <w:tab w:val="right" w:pos="9026" w:leader="dot"/>
            </w:tabs>
            <w:rPr/>
          </w:pPr>
          <w:hyperlink w:anchor="__RefHeading___Toc1920292_581953129">
            <w:r>
              <w:rPr>
                <w:webHidden/>
                <w:rStyle w:val="IndexLink"/>
                <w:rtl w:val="true"/>
              </w:rPr>
              <w:t>اشارة</w:t>
            </w:r>
            <w:r>
              <w:rPr>
                <w:rStyle w:val="IndexLink"/>
                <w:rtl w:val="true"/>
              </w:rPr>
              <w:tab/>
            </w:r>
            <w:r>
              <w:rPr>
                <w:rStyle w:val="IndexLink"/>
              </w:rPr>
              <w:t>67</w:t>
            </w:r>
          </w:hyperlink>
        </w:p>
        <w:p>
          <w:pPr>
            <w:pStyle w:val="Contents6"/>
            <w:tabs>
              <w:tab w:val="clear" w:pos="7609"/>
              <w:tab w:val="right" w:pos="9026" w:leader="dot"/>
            </w:tabs>
            <w:rPr/>
          </w:pPr>
          <w:hyperlink w:anchor="__RefHeading___Toc1920294_581953129">
            <w:r>
              <w:rPr>
                <w:webHidden/>
                <w:rStyle w:val="IndexLink"/>
                <w:rtl w:val="true"/>
              </w:rPr>
              <w:t>فقه الروایة، وأنّ موردها الشبهة المحصورة أو غیر المحصورة</w:t>
            </w:r>
            <w:r>
              <w:rPr>
                <w:rStyle w:val="IndexLink"/>
                <w:rtl w:val="true"/>
              </w:rPr>
              <w:tab/>
            </w:r>
            <w:r>
              <w:rPr>
                <w:rStyle w:val="IndexLink"/>
              </w:rPr>
              <w:t>70</w:t>
            </w:r>
          </w:hyperlink>
        </w:p>
        <w:p>
          <w:pPr>
            <w:pStyle w:val="Contents6"/>
            <w:tabs>
              <w:tab w:val="clear" w:pos="7609"/>
              <w:tab w:val="right" w:pos="9026" w:leader="dot"/>
            </w:tabs>
            <w:rPr/>
          </w:pPr>
          <w:hyperlink w:anchor="__RefHeading___Toc1920296_581953129">
            <w:r>
              <w:rPr>
                <w:webHidden/>
                <w:rStyle w:val="IndexLink"/>
                <w:rtl w:val="true"/>
              </w:rPr>
              <w:t>العنوان السادس</w:t>
            </w:r>
            <w:r>
              <w:rPr>
                <w:rStyle w:val="IndexLink"/>
                <w:rtl w:val="true"/>
              </w:rPr>
              <w:t xml:space="preserve">: </w:t>
            </w:r>
            <w:r>
              <w:rPr>
                <w:rStyle w:val="IndexLink"/>
                <w:rtl w:val="true"/>
              </w:rPr>
              <w:t>ما ورد فی الخنثی المشکل</w:t>
            </w:r>
            <w:r>
              <w:rPr>
                <w:rStyle w:val="IndexLink"/>
                <w:rtl w:val="true"/>
              </w:rPr>
              <w:tab/>
            </w:r>
            <w:r>
              <w:rPr>
                <w:rStyle w:val="IndexLink"/>
              </w:rPr>
              <w:t>73</w:t>
            </w:r>
          </w:hyperlink>
        </w:p>
        <w:p>
          <w:pPr>
            <w:pStyle w:val="Contents6"/>
            <w:tabs>
              <w:tab w:val="clear" w:pos="7609"/>
              <w:tab w:val="right" w:pos="9026" w:leader="dot"/>
            </w:tabs>
            <w:rPr/>
          </w:pPr>
          <w:hyperlink w:anchor="__RefHeading___Toc1920298_581953129">
            <w:r>
              <w:rPr>
                <w:webHidden/>
                <w:rStyle w:val="IndexLink"/>
                <w:rtl w:val="true"/>
              </w:rPr>
              <w:t>العنوان السابع</w:t>
            </w:r>
            <w:r>
              <w:rPr>
                <w:rStyle w:val="IndexLink"/>
                <w:rtl w:val="true"/>
              </w:rPr>
              <w:t xml:space="preserve">: </w:t>
            </w:r>
            <w:r>
              <w:rPr>
                <w:rStyle w:val="IndexLink"/>
                <w:rtl w:val="true"/>
              </w:rPr>
              <w:t>ما ورد فی عتق المملوک</w:t>
            </w:r>
            <w:r>
              <w:rPr>
                <w:rStyle w:val="IndexLink"/>
                <w:rtl w:val="true"/>
              </w:rPr>
              <w:tab/>
            </w:r>
            <w:r>
              <w:rPr>
                <w:rStyle w:val="IndexLink"/>
              </w:rPr>
              <w:t>74</w:t>
            </w:r>
          </w:hyperlink>
        </w:p>
        <w:p>
          <w:pPr>
            <w:pStyle w:val="Contents6"/>
            <w:tabs>
              <w:tab w:val="clear" w:pos="7609"/>
              <w:tab w:val="right" w:pos="9026" w:leader="dot"/>
            </w:tabs>
            <w:rPr/>
          </w:pPr>
          <w:hyperlink w:anchor="__RefHeading___Toc1920300_581953129">
            <w:r>
              <w:rPr>
                <w:webHidden/>
                <w:rStyle w:val="IndexLink"/>
                <w:rtl w:val="true"/>
              </w:rPr>
              <w:t>العنوان الثامن</w:t>
            </w:r>
            <w:r>
              <w:rPr>
                <w:rStyle w:val="IndexLink"/>
                <w:rtl w:val="true"/>
              </w:rPr>
              <w:t xml:space="preserve">: </w:t>
            </w:r>
            <w:r>
              <w:rPr>
                <w:rStyle w:val="IndexLink"/>
                <w:rtl w:val="true"/>
              </w:rPr>
              <w:t>ما ورد فی مال أتی أمیر المؤمنین من إصفهان</w:t>
            </w:r>
            <w:r>
              <w:rPr>
                <w:rStyle w:val="IndexLink"/>
                <w:rtl w:val="true"/>
              </w:rPr>
              <w:tab/>
            </w:r>
            <w:r>
              <w:rPr>
                <w:rStyle w:val="IndexLink"/>
              </w:rPr>
              <w:t>75</w:t>
            </w:r>
          </w:hyperlink>
        </w:p>
        <w:p>
          <w:pPr>
            <w:pStyle w:val="Contents6"/>
            <w:tabs>
              <w:tab w:val="clear" w:pos="7609"/>
              <w:tab w:val="right" w:pos="9026" w:leader="dot"/>
            </w:tabs>
            <w:rPr/>
          </w:pPr>
          <w:hyperlink w:anchor="__RefHeading___Toc1920302_581953129">
            <w:r>
              <w:rPr>
                <w:webHidden/>
                <w:rStyle w:val="IndexLink"/>
                <w:rtl w:val="true"/>
              </w:rPr>
              <w:t>العنوان التاسع</w:t>
            </w:r>
            <w:r>
              <w:rPr>
                <w:rStyle w:val="IndexLink"/>
                <w:rtl w:val="true"/>
              </w:rPr>
              <w:t xml:space="preserve">: </w:t>
            </w:r>
            <w:r>
              <w:rPr>
                <w:rStyle w:val="IndexLink"/>
                <w:rtl w:val="true"/>
              </w:rPr>
              <w:t>ما ورد فی مساهمة رسول اللّه صلی الله علیه و آله قریشاً فی بناء البیت</w:t>
            </w:r>
            <w:r>
              <w:rPr>
                <w:rStyle w:val="IndexLink"/>
                <w:rtl w:val="true"/>
              </w:rPr>
              <w:tab/>
            </w:r>
            <w:r>
              <w:rPr>
                <w:rStyle w:val="IndexLink"/>
              </w:rPr>
              <w:t>75</w:t>
            </w:r>
          </w:hyperlink>
        </w:p>
        <w:p>
          <w:pPr>
            <w:pStyle w:val="Contents6"/>
            <w:tabs>
              <w:tab w:val="clear" w:pos="7609"/>
              <w:tab w:val="right" w:pos="9026" w:leader="dot"/>
            </w:tabs>
            <w:rPr/>
          </w:pPr>
          <w:hyperlink w:anchor="__RefHeading___Toc1920304_581953129">
            <w:r>
              <w:rPr>
                <w:webHidden/>
                <w:rStyle w:val="IndexLink"/>
                <w:rtl w:val="true"/>
              </w:rPr>
              <w:t>العنوان العاشر</w:t>
            </w:r>
            <w:r>
              <w:rPr>
                <w:rStyle w:val="IndexLink"/>
                <w:rtl w:val="true"/>
              </w:rPr>
              <w:t xml:space="preserve">: </w:t>
            </w:r>
            <w:r>
              <w:rPr>
                <w:rStyle w:val="IndexLink"/>
                <w:rtl w:val="true"/>
              </w:rPr>
              <w:t>ما ورد فی استعلام موسی علیه السلام النمّام بالقرعة بتعلیم من اللّه تعالی</w:t>
            </w:r>
            <w:r>
              <w:rPr>
                <w:rStyle w:val="IndexLink"/>
                <w:rtl w:val="true"/>
              </w:rPr>
              <w:tab/>
            </w:r>
            <w:r>
              <w:rPr>
                <w:rStyle w:val="IndexLink"/>
              </w:rPr>
              <w:t>76</w:t>
            </w:r>
          </w:hyperlink>
        </w:p>
        <w:p>
          <w:pPr>
            <w:pStyle w:val="Contents6"/>
            <w:tabs>
              <w:tab w:val="clear" w:pos="7609"/>
              <w:tab w:val="right" w:pos="9026" w:leader="dot"/>
            </w:tabs>
            <w:rPr/>
          </w:pPr>
          <w:hyperlink w:anchor="__RefHeading___Toc1920306_581953129">
            <w:r>
              <w:rPr>
                <w:webHidden/>
                <w:rStyle w:val="IndexLink"/>
                <w:rtl w:val="true"/>
              </w:rPr>
              <w:t>العنوان الحادی عشر</w:t>
            </w:r>
            <w:r>
              <w:rPr>
                <w:rStyle w:val="IndexLink"/>
                <w:rtl w:val="true"/>
              </w:rPr>
              <w:t xml:space="preserve">: </w:t>
            </w:r>
            <w:r>
              <w:rPr>
                <w:rStyle w:val="IndexLink"/>
                <w:rtl w:val="true"/>
              </w:rPr>
              <w:t>ما ورد فی اقتراعه صلی الله علیه و آله بین أهل الصّفة للبعث إلی غزوة السلاسل</w:t>
            </w:r>
            <w:r>
              <w:rPr>
                <w:rStyle w:val="IndexLink"/>
                <w:rtl w:val="true"/>
              </w:rPr>
              <w:tab/>
            </w:r>
            <w:r>
              <w:rPr>
                <w:rStyle w:val="IndexLink"/>
              </w:rPr>
              <w:t>76</w:t>
            </w:r>
          </w:hyperlink>
        </w:p>
        <w:p>
          <w:pPr>
            <w:pStyle w:val="Contents6"/>
            <w:tabs>
              <w:tab w:val="clear" w:pos="7609"/>
              <w:tab w:val="right" w:pos="9026" w:leader="dot"/>
            </w:tabs>
            <w:rPr/>
          </w:pPr>
          <w:hyperlink w:anchor="__RefHeading___Toc1920308_581953129">
            <w:r>
              <w:rPr>
                <w:webHidden/>
                <w:rStyle w:val="IndexLink"/>
                <w:rtl w:val="true"/>
              </w:rPr>
              <w:t>العنوان الثانی عشر</w:t>
            </w:r>
            <w:r>
              <w:rPr>
                <w:rStyle w:val="IndexLink"/>
                <w:rtl w:val="true"/>
              </w:rPr>
              <w:t xml:space="preserve">: </w:t>
            </w:r>
            <w:r>
              <w:rPr>
                <w:rStyle w:val="IndexLink"/>
                <w:rtl w:val="true"/>
              </w:rPr>
              <w:t>ما ورد فی فقه المنسوب إلی الرضا علیه السلام فی باب الإشهاد</w:t>
            </w:r>
            <w:r>
              <w:rPr>
                <w:rStyle w:val="IndexLink"/>
                <w:rtl w:val="true"/>
              </w:rPr>
              <w:tab/>
            </w:r>
            <w:r>
              <w:rPr>
                <w:rStyle w:val="IndexLink"/>
              </w:rPr>
              <w:t>76</w:t>
            </w:r>
          </w:hyperlink>
        </w:p>
        <w:p>
          <w:pPr>
            <w:pStyle w:val="Contents6"/>
            <w:tabs>
              <w:tab w:val="clear" w:pos="7609"/>
              <w:tab w:val="right" w:pos="9026" w:leader="dot"/>
            </w:tabs>
            <w:rPr/>
          </w:pPr>
          <w:hyperlink w:anchor="__RefHeading___Toc1920310_581953129">
            <w:r>
              <w:rPr>
                <w:webHidden/>
                <w:rStyle w:val="IndexLink"/>
                <w:rtl w:val="true"/>
              </w:rPr>
              <w:t>العنوان الثالث عشر</w:t>
            </w:r>
            <w:r>
              <w:rPr>
                <w:rStyle w:val="IndexLink"/>
                <w:rtl w:val="true"/>
              </w:rPr>
              <w:t xml:space="preserve">: </w:t>
            </w:r>
            <w:r>
              <w:rPr>
                <w:rStyle w:val="IndexLink"/>
                <w:rtl w:val="true"/>
              </w:rPr>
              <w:t>ما روی فی أن رجلاً من الأنصار أعتق ستّة عبید فی مرض</w:t>
            </w:r>
            <w:r>
              <w:rPr>
                <w:rStyle w:val="IndexLink"/>
                <w:rtl w:val="true"/>
              </w:rPr>
              <w:tab/>
            </w:r>
            <w:r>
              <w:rPr>
                <w:rStyle w:val="IndexLink"/>
              </w:rPr>
              <w:t>77</w:t>
            </w:r>
          </w:hyperlink>
        </w:p>
        <w:p>
          <w:pPr>
            <w:pStyle w:val="Contents3"/>
            <w:tabs>
              <w:tab w:val="clear" w:pos="8459"/>
              <w:tab w:val="right" w:pos="9026" w:leader="dot"/>
            </w:tabs>
            <w:rPr/>
          </w:pPr>
          <w:hyperlink w:anchor="__RefHeading___Toc1920312_581953129">
            <w:r>
              <w:rPr>
                <w:webHidden/>
                <w:rStyle w:val="IndexLink"/>
                <w:rtl w:val="true"/>
              </w:rPr>
              <w:t>الدلیل الثالث</w:t>
            </w:r>
            <w:r>
              <w:rPr>
                <w:rStyle w:val="IndexLink"/>
                <w:rtl w:val="true"/>
              </w:rPr>
              <w:t xml:space="preserve">: </w:t>
            </w:r>
            <w:r>
              <w:rPr>
                <w:rStyle w:val="IndexLink"/>
                <w:rtl w:val="true"/>
              </w:rPr>
              <w:t>الاجماع</w:t>
            </w:r>
            <w:r>
              <w:rPr>
                <w:rStyle w:val="IndexLink"/>
                <w:rtl w:val="true"/>
              </w:rPr>
              <w:tab/>
            </w:r>
            <w:r>
              <w:rPr>
                <w:rStyle w:val="IndexLink"/>
              </w:rPr>
              <w:t>77</w:t>
            </w:r>
          </w:hyperlink>
        </w:p>
        <w:p>
          <w:pPr>
            <w:pStyle w:val="Contents4"/>
            <w:tabs>
              <w:tab w:val="clear" w:pos="8176"/>
              <w:tab w:val="right" w:pos="9026" w:leader="dot"/>
            </w:tabs>
            <w:rPr/>
          </w:pPr>
          <w:hyperlink w:anchor="__RefHeading___Toc1920314_581953129">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1920316_581953129">
            <w:r>
              <w:rPr>
                <w:webHidden/>
                <w:rStyle w:val="IndexLink"/>
                <w:rtl w:val="true"/>
              </w:rPr>
              <w:t>أمّا الاجماع المنقول</w:t>
            </w:r>
            <w:r>
              <w:rPr>
                <w:rStyle w:val="IndexLink"/>
                <w:rtl w:val="true"/>
              </w:rPr>
              <w:tab/>
            </w:r>
            <w:r>
              <w:rPr>
                <w:rStyle w:val="IndexLink"/>
              </w:rPr>
              <w:t>77</w:t>
            </w:r>
          </w:hyperlink>
        </w:p>
        <w:p>
          <w:pPr>
            <w:pStyle w:val="Contents4"/>
            <w:tabs>
              <w:tab w:val="clear" w:pos="8176"/>
              <w:tab w:val="right" w:pos="9026" w:leader="dot"/>
            </w:tabs>
            <w:rPr/>
          </w:pPr>
          <w:hyperlink w:anchor="__RefHeading___Toc1920318_581953129">
            <w:r>
              <w:rPr>
                <w:webHidden/>
                <w:rStyle w:val="IndexLink"/>
                <w:rtl w:val="true"/>
              </w:rPr>
              <w:t>وأما الاجماع المحصّل</w:t>
            </w:r>
            <w:r>
              <w:rPr>
                <w:rStyle w:val="IndexLink"/>
                <w:rtl w:val="true"/>
              </w:rPr>
              <w:tab/>
            </w:r>
            <w:r>
              <w:rPr>
                <w:rStyle w:val="IndexLink"/>
              </w:rPr>
              <w:t>79</w:t>
            </w:r>
          </w:hyperlink>
        </w:p>
        <w:p>
          <w:pPr>
            <w:pStyle w:val="Contents3"/>
            <w:tabs>
              <w:tab w:val="clear" w:pos="8459"/>
              <w:tab w:val="right" w:pos="9026" w:leader="dot"/>
            </w:tabs>
            <w:rPr/>
          </w:pPr>
          <w:hyperlink w:anchor="__RefHeading___Toc1920320_581953129">
            <w:r>
              <w:rPr>
                <w:webHidden/>
                <w:rStyle w:val="IndexLink"/>
                <w:rtl w:val="true"/>
              </w:rPr>
              <w:t>الدلیل الرابع</w:t>
            </w:r>
            <w:r>
              <w:rPr>
                <w:rStyle w:val="IndexLink"/>
                <w:rtl w:val="true"/>
              </w:rPr>
              <w:t xml:space="preserve">: </w:t>
            </w:r>
            <w:r>
              <w:rPr>
                <w:rStyle w:val="IndexLink"/>
                <w:rtl w:val="true"/>
              </w:rPr>
              <w:t>سیرة العقلاء</w:t>
            </w:r>
            <w:r>
              <w:rPr>
                <w:rStyle w:val="IndexLink"/>
                <w:rtl w:val="true"/>
              </w:rPr>
              <w:tab/>
            </w:r>
            <w:r>
              <w:rPr>
                <w:rStyle w:val="IndexLink"/>
              </w:rPr>
              <w:t>80</w:t>
            </w:r>
          </w:hyperlink>
        </w:p>
        <w:p>
          <w:pPr>
            <w:pStyle w:val="Contents3"/>
            <w:tabs>
              <w:tab w:val="clear" w:pos="8459"/>
              <w:tab w:val="right" w:pos="9026" w:leader="dot"/>
            </w:tabs>
            <w:rPr/>
          </w:pPr>
          <w:hyperlink w:anchor="__RefHeading___Toc1920322_581953129">
            <w:r>
              <w:rPr>
                <w:webHidden/>
                <w:rStyle w:val="IndexLink"/>
                <w:rtl w:val="true"/>
              </w:rPr>
              <w:t>الدلیل الخامس</w:t>
            </w:r>
            <w:r>
              <w:rPr>
                <w:rStyle w:val="IndexLink"/>
                <w:rtl w:val="true"/>
              </w:rPr>
              <w:t xml:space="preserve">: </w:t>
            </w:r>
            <w:r>
              <w:rPr>
                <w:rStyle w:val="IndexLink"/>
                <w:rtl w:val="true"/>
              </w:rPr>
              <w:t>العقل</w:t>
            </w:r>
            <w:r>
              <w:rPr>
                <w:rStyle w:val="IndexLink"/>
                <w:rtl w:val="true"/>
              </w:rPr>
              <w:tab/>
            </w:r>
            <w:r>
              <w:rPr>
                <w:rStyle w:val="IndexLink"/>
              </w:rPr>
              <w:t>81</w:t>
            </w:r>
          </w:hyperlink>
        </w:p>
        <w:p>
          <w:pPr>
            <w:pStyle w:val="Contents4"/>
            <w:tabs>
              <w:tab w:val="clear" w:pos="8176"/>
              <w:tab w:val="right" w:pos="9026" w:leader="dot"/>
            </w:tabs>
            <w:rPr/>
          </w:pPr>
          <w:hyperlink w:anchor="__RefHeading___Toc1920324_581953129">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1920326_581953129">
            <w:r>
              <w:rPr>
                <w:webHidden/>
                <w:rStyle w:val="IndexLink"/>
                <w:rtl w:val="true"/>
              </w:rPr>
              <w:t>معنی اختلال النظام</w:t>
            </w:r>
            <w:r>
              <w:rPr>
                <w:rStyle w:val="IndexLink"/>
                <w:rtl w:val="true"/>
              </w:rPr>
              <w:tab/>
            </w:r>
            <w:r>
              <w:rPr>
                <w:rStyle w:val="IndexLink"/>
              </w:rPr>
              <w:t>82</w:t>
            </w:r>
          </w:hyperlink>
        </w:p>
        <w:p>
          <w:pPr>
            <w:pStyle w:val="Contents3"/>
            <w:tabs>
              <w:tab w:val="clear" w:pos="8459"/>
              <w:tab w:val="right" w:pos="9026" w:leader="dot"/>
            </w:tabs>
            <w:rPr/>
          </w:pPr>
          <w:hyperlink w:anchor="__RefHeading___Toc1920328_581953129">
            <w:r>
              <w:rPr>
                <w:webHidden/>
                <w:rStyle w:val="IndexLink"/>
                <w:rtl w:val="true"/>
              </w:rPr>
              <w:t>الدلیل السادس</w:t>
            </w:r>
            <w:r>
              <w:rPr>
                <w:rStyle w:val="IndexLink"/>
                <w:rtl w:val="true"/>
              </w:rPr>
              <w:t xml:space="preserve">: </w:t>
            </w:r>
            <w:r>
              <w:rPr>
                <w:rStyle w:val="IndexLink"/>
                <w:rtl w:val="true"/>
              </w:rPr>
              <w:t>السیرة المتشرّعة</w:t>
            </w:r>
            <w:r>
              <w:rPr>
                <w:rStyle w:val="IndexLink"/>
                <w:rtl w:val="true"/>
              </w:rPr>
              <w:tab/>
            </w:r>
            <w:r>
              <w:rPr>
                <w:rStyle w:val="IndexLink"/>
              </w:rPr>
              <w:t>82</w:t>
            </w:r>
          </w:hyperlink>
        </w:p>
        <w:p>
          <w:pPr>
            <w:pStyle w:val="Contents2"/>
            <w:tabs>
              <w:tab w:val="clear" w:pos="8743"/>
              <w:tab w:val="right" w:pos="9026" w:leader="dot"/>
            </w:tabs>
            <w:rPr/>
          </w:pPr>
          <w:hyperlink w:anchor="__RefHeading___Toc1920330_581953129">
            <w:r>
              <w:rPr>
                <w:webHidden/>
                <w:rStyle w:val="IndexLink"/>
                <w:rtl w:val="true"/>
              </w:rPr>
              <w:t>التنبیهات</w:t>
            </w:r>
            <w:r>
              <w:rPr>
                <w:rStyle w:val="IndexLink"/>
                <w:rtl w:val="true"/>
              </w:rPr>
              <w:tab/>
            </w:r>
            <w:r>
              <w:rPr>
                <w:rStyle w:val="IndexLink"/>
              </w:rPr>
              <w:t>84</w:t>
            </w:r>
          </w:hyperlink>
        </w:p>
        <w:p>
          <w:pPr>
            <w:pStyle w:val="Contents3"/>
            <w:tabs>
              <w:tab w:val="clear" w:pos="8459"/>
              <w:tab w:val="right" w:pos="9026" w:leader="dot"/>
            </w:tabs>
            <w:rPr/>
          </w:pPr>
          <w:hyperlink w:anchor="__RefHeading___Toc1920332_581953129">
            <w:r>
              <w:rPr>
                <w:webHidden/>
                <w:rStyle w:val="IndexLink"/>
                <w:rtl w:val="true"/>
              </w:rPr>
              <w:t>الأوّل</w:t>
            </w:r>
            <w:r>
              <w:rPr>
                <w:rStyle w:val="IndexLink"/>
                <w:rtl w:val="true"/>
              </w:rPr>
              <w:t xml:space="preserve">: </w:t>
            </w:r>
            <w:r>
              <w:rPr>
                <w:rStyle w:val="IndexLink"/>
                <w:rtl w:val="true"/>
              </w:rPr>
              <w:t>فی محل جریان القرعة ومواردها</w:t>
            </w:r>
            <w:r>
              <w:rPr>
                <w:rStyle w:val="IndexLink"/>
                <w:rtl w:val="true"/>
              </w:rPr>
              <w:tab/>
            </w:r>
            <w:r>
              <w:rPr>
                <w:rStyle w:val="IndexLink"/>
              </w:rPr>
              <w:t>84</w:t>
            </w:r>
          </w:hyperlink>
        </w:p>
        <w:p>
          <w:pPr>
            <w:pStyle w:val="Contents4"/>
            <w:tabs>
              <w:tab w:val="clear" w:pos="8176"/>
              <w:tab w:val="right" w:pos="9026" w:leader="dot"/>
            </w:tabs>
            <w:rPr/>
          </w:pPr>
          <w:hyperlink w:anchor="__RefHeading___Toc1920334_581953129">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1920336_581953129">
            <w:r>
              <w:rPr>
                <w:webHidden/>
                <w:rStyle w:val="IndexLink"/>
                <w:rtl w:val="true"/>
              </w:rPr>
              <w:t>کلام المحقق العراقی</w:t>
            </w:r>
            <w:r>
              <w:rPr>
                <w:rStyle w:val="IndexLink"/>
                <w:rtl w:val="true"/>
              </w:rPr>
              <w:tab/>
            </w:r>
            <w:r>
              <w:rPr>
                <w:rStyle w:val="IndexLink"/>
              </w:rPr>
              <w:t>84</w:t>
            </w:r>
          </w:hyperlink>
        </w:p>
        <w:p>
          <w:pPr>
            <w:pStyle w:val="Contents4"/>
            <w:tabs>
              <w:tab w:val="clear" w:pos="8176"/>
              <w:tab w:val="right" w:pos="9026" w:leader="dot"/>
            </w:tabs>
            <w:rPr/>
          </w:pPr>
          <w:hyperlink w:anchor="__RefHeading___Toc1920338_581953129">
            <w:r>
              <w:rPr>
                <w:webHidden/>
                <w:rStyle w:val="IndexLink"/>
                <w:rtl w:val="true"/>
              </w:rPr>
              <w:t>افتراق العناوین الخمسة</w:t>
            </w:r>
            <w:r>
              <w:rPr>
                <w:rStyle w:val="IndexLink"/>
                <w:rtl w:val="true"/>
              </w:rPr>
              <w:t xml:space="preserve">: </w:t>
            </w:r>
            <w:r>
              <w:rPr>
                <w:rStyle w:val="IndexLink"/>
                <w:rtl w:val="true"/>
              </w:rPr>
              <w:t>المشکل، الملتبس، المشتبه، المجهول والمعضل</w:t>
            </w:r>
            <w:r>
              <w:rPr>
                <w:rStyle w:val="IndexLink"/>
                <w:rtl w:val="true"/>
              </w:rPr>
              <w:tab/>
            </w:r>
            <w:r>
              <w:rPr>
                <w:rStyle w:val="IndexLink"/>
              </w:rPr>
              <w:t>85</w:t>
            </w:r>
          </w:hyperlink>
        </w:p>
        <w:p>
          <w:pPr>
            <w:pStyle w:val="Contents4"/>
            <w:tabs>
              <w:tab w:val="clear" w:pos="8176"/>
              <w:tab w:val="right" w:pos="9026" w:leader="dot"/>
            </w:tabs>
            <w:rPr/>
          </w:pPr>
          <w:hyperlink w:anchor="__RefHeading___Toc1920340_581953129">
            <w:r>
              <w:rPr>
                <w:webHidden/>
                <w:rStyle w:val="IndexLink"/>
                <w:rtl w:val="true"/>
              </w:rPr>
              <w:t>عدم جریان أدلّة القرعة فی الشبهات الحکمیة</w:t>
            </w:r>
            <w:r>
              <w:rPr>
                <w:rStyle w:val="IndexLink"/>
                <w:rtl w:val="true"/>
              </w:rPr>
              <w:tab/>
            </w:r>
            <w:r>
              <w:rPr>
                <w:rStyle w:val="IndexLink"/>
              </w:rPr>
              <w:t>86</w:t>
            </w:r>
          </w:hyperlink>
        </w:p>
        <w:p>
          <w:pPr>
            <w:pStyle w:val="Contents4"/>
            <w:tabs>
              <w:tab w:val="clear" w:pos="8176"/>
              <w:tab w:val="right" w:pos="9026" w:leader="dot"/>
            </w:tabs>
            <w:rPr/>
          </w:pPr>
          <w:hyperlink w:anchor="__RefHeading___Toc1920342_581953129">
            <w:r>
              <w:rPr>
                <w:webHidden/>
                <w:rStyle w:val="IndexLink"/>
                <w:rtl w:val="true"/>
              </w:rPr>
              <w:t>تقسیم الشبهات الموضوعیّة المقرونة بالعلم الاجمالی إلی حقوق اللّه وحقوق الناس</w:t>
            </w:r>
            <w:r>
              <w:rPr>
                <w:rStyle w:val="IndexLink"/>
                <w:rtl w:val="true"/>
              </w:rPr>
              <w:tab/>
            </w:r>
            <w:r>
              <w:rPr>
                <w:rStyle w:val="IndexLink"/>
              </w:rPr>
              <w:t>87</w:t>
            </w:r>
          </w:hyperlink>
        </w:p>
        <w:p>
          <w:pPr>
            <w:pStyle w:val="Contents4"/>
            <w:tabs>
              <w:tab w:val="clear" w:pos="8176"/>
              <w:tab w:val="right" w:pos="9026" w:leader="dot"/>
            </w:tabs>
            <w:rPr/>
          </w:pPr>
          <w:hyperlink w:anchor="__RefHeading___Toc1920344_581953129">
            <w:r>
              <w:rPr>
                <w:webHidden/>
                <w:rStyle w:val="IndexLink"/>
                <w:rtl w:val="true"/>
              </w:rPr>
              <w:t>مانعیّة العلم الاجمالی عن جریان القرعة فی موارد حقوق اللّه</w:t>
            </w:r>
            <w:r>
              <w:rPr>
                <w:rStyle w:val="IndexLink"/>
                <w:rtl w:val="true"/>
              </w:rPr>
              <w:tab/>
            </w:r>
            <w:r>
              <w:rPr>
                <w:rStyle w:val="IndexLink"/>
              </w:rPr>
              <w:t>87</w:t>
            </w:r>
          </w:hyperlink>
        </w:p>
        <w:p>
          <w:pPr>
            <w:pStyle w:val="Contents4"/>
            <w:tabs>
              <w:tab w:val="clear" w:pos="8176"/>
              <w:tab w:val="right" w:pos="9026" w:leader="dot"/>
            </w:tabs>
            <w:rPr/>
          </w:pPr>
          <w:hyperlink w:anchor="__RefHeading___Toc1920346_581953129">
            <w:r>
              <w:rPr>
                <w:webHidden/>
                <w:rStyle w:val="IndexLink"/>
                <w:rtl w:val="true"/>
              </w:rPr>
              <w:t>تشخیص موارد القرعة عن موارد التخییر وقاعدة العدل والإنصاف</w:t>
            </w:r>
            <w:r>
              <w:rPr>
                <w:rStyle w:val="IndexLink"/>
                <w:rtl w:val="true"/>
              </w:rPr>
              <w:tab/>
            </w:r>
            <w:r>
              <w:rPr>
                <w:rStyle w:val="IndexLink"/>
              </w:rPr>
              <w:t>89</w:t>
            </w:r>
          </w:hyperlink>
        </w:p>
        <w:p>
          <w:pPr>
            <w:pStyle w:val="Contents4"/>
            <w:tabs>
              <w:tab w:val="clear" w:pos="8176"/>
              <w:tab w:val="right" w:pos="9026" w:leader="dot"/>
            </w:tabs>
            <w:rPr/>
          </w:pPr>
          <w:hyperlink w:anchor="__RefHeading___Toc1920348_581953129">
            <w:r>
              <w:rPr>
                <w:webHidden/>
                <w:rStyle w:val="IndexLink"/>
                <w:rtl w:val="true"/>
              </w:rPr>
              <w:t>کلام المحقق النائینی فی ذلک التشخیص</w:t>
            </w:r>
            <w:r>
              <w:rPr>
                <w:rStyle w:val="IndexLink"/>
                <w:rtl w:val="true"/>
              </w:rPr>
              <w:tab/>
            </w:r>
            <w:r>
              <w:rPr>
                <w:rStyle w:val="IndexLink"/>
              </w:rPr>
              <w:t>89</w:t>
            </w:r>
          </w:hyperlink>
        </w:p>
        <w:p>
          <w:pPr>
            <w:pStyle w:val="Contents4"/>
            <w:tabs>
              <w:tab w:val="clear" w:pos="8176"/>
              <w:tab w:val="right" w:pos="9026" w:leader="dot"/>
            </w:tabs>
            <w:rPr/>
          </w:pPr>
          <w:hyperlink w:anchor="__RefHeading___Toc1920350_581953129">
            <w:r>
              <w:rPr>
                <w:webHidden/>
                <w:rStyle w:val="IndexLink"/>
                <w:rtl w:val="true"/>
              </w:rPr>
              <w:t>الملاحظات الواردة علی المحقق العراقی</w:t>
            </w:r>
            <w:r>
              <w:rPr>
                <w:rStyle w:val="IndexLink"/>
                <w:rtl w:val="true"/>
              </w:rPr>
              <w:tab/>
            </w:r>
            <w:r>
              <w:rPr>
                <w:rStyle w:val="IndexLink"/>
              </w:rPr>
              <w:t>90</w:t>
            </w:r>
          </w:hyperlink>
        </w:p>
        <w:p>
          <w:pPr>
            <w:pStyle w:val="Contents4"/>
            <w:tabs>
              <w:tab w:val="clear" w:pos="8176"/>
              <w:tab w:val="right" w:pos="9026" w:leader="dot"/>
            </w:tabs>
            <w:rPr/>
          </w:pPr>
          <w:hyperlink w:anchor="__RefHeading___Toc1920352_581953129">
            <w:r>
              <w:rPr>
                <w:webHidden/>
                <w:rStyle w:val="IndexLink"/>
                <w:rtl w:val="true"/>
              </w:rPr>
              <w:t>کلام صاحب العناوین السیّد المحقّق المراغی</w:t>
            </w:r>
            <w:r>
              <w:rPr>
                <w:rStyle w:val="IndexLink"/>
                <w:rtl w:val="true"/>
              </w:rPr>
              <w:t>:</w:t>
              <w:tab/>
            </w:r>
            <w:r>
              <w:rPr>
                <w:rStyle w:val="IndexLink"/>
              </w:rPr>
              <w:t>92</w:t>
            </w:r>
          </w:hyperlink>
        </w:p>
        <w:p>
          <w:pPr>
            <w:pStyle w:val="Contents4"/>
            <w:tabs>
              <w:tab w:val="clear" w:pos="8176"/>
              <w:tab w:val="right" w:pos="9026" w:leader="dot"/>
            </w:tabs>
            <w:rPr/>
          </w:pPr>
          <w:hyperlink w:anchor="__RefHeading___Toc1920354_581953129">
            <w:r>
              <w:rPr>
                <w:webHidden/>
                <w:rStyle w:val="IndexLink"/>
                <w:rtl w:val="true"/>
              </w:rPr>
              <w:t>اتّحاد العناوین الخمسة معنی</w:t>
            </w:r>
            <w:r>
              <w:rPr>
                <w:rStyle w:val="IndexLink"/>
                <w:rtl w:val="true"/>
              </w:rPr>
              <w:tab/>
            </w:r>
            <w:r>
              <w:rPr>
                <w:rStyle w:val="IndexLink"/>
              </w:rPr>
              <w:t>92</w:t>
            </w:r>
          </w:hyperlink>
        </w:p>
        <w:p>
          <w:pPr>
            <w:pStyle w:val="Contents4"/>
            <w:tabs>
              <w:tab w:val="clear" w:pos="8176"/>
              <w:tab w:val="right" w:pos="9026" w:leader="dot"/>
            </w:tabs>
            <w:rPr/>
          </w:pPr>
          <w:hyperlink w:anchor="__RefHeading___Toc1920356_581953129">
            <w:r>
              <w:rPr>
                <w:webHidden/>
                <w:rStyle w:val="IndexLink"/>
                <w:rtl w:val="true"/>
              </w:rPr>
              <w:t>عمومیّة أدلّة القرعة وخروج الأصول عملیّة عنها تخصیصاً أو تخصصاً</w:t>
            </w:r>
            <w:r>
              <w:rPr>
                <w:rStyle w:val="IndexLink"/>
                <w:rtl w:val="true"/>
              </w:rPr>
              <w:tab/>
            </w:r>
            <w:r>
              <w:rPr>
                <w:rStyle w:val="IndexLink"/>
              </w:rPr>
              <w:t>92</w:t>
            </w:r>
          </w:hyperlink>
        </w:p>
        <w:p>
          <w:pPr>
            <w:pStyle w:val="Contents4"/>
            <w:tabs>
              <w:tab w:val="clear" w:pos="8176"/>
              <w:tab w:val="right" w:pos="9026" w:leader="dot"/>
            </w:tabs>
            <w:rPr/>
          </w:pPr>
          <w:hyperlink w:anchor="__RefHeading___Toc1920358_581953129">
            <w:r>
              <w:rPr>
                <w:webHidden/>
                <w:rStyle w:val="IndexLink"/>
                <w:rtl w:val="true"/>
              </w:rPr>
              <w:t>کون القرعة آخر طریق لحلّ الاشکال</w:t>
            </w:r>
            <w:r>
              <w:rPr>
                <w:rStyle w:val="IndexLink"/>
                <w:rtl w:val="true"/>
              </w:rPr>
              <w:tab/>
            </w:r>
            <w:r>
              <w:rPr>
                <w:rStyle w:val="IndexLink"/>
              </w:rPr>
              <w:t>92</w:t>
            </w:r>
          </w:hyperlink>
        </w:p>
        <w:p>
          <w:pPr>
            <w:pStyle w:val="Contents4"/>
            <w:tabs>
              <w:tab w:val="clear" w:pos="8176"/>
              <w:tab w:val="right" w:pos="9026" w:leader="dot"/>
            </w:tabs>
            <w:rPr/>
          </w:pPr>
          <w:hyperlink w:anchor="__RefHeading___Toc1920360_581953129">
            <w:r>
              <w:rPr>
                <w:webHidden/>
                <w:rStyle w:val="IndexLink"/>
                <w:rtl w:val="true"/>
              </w:rPr>
              <w:t>عدم جریان القرعة فی الشبهات الحکمیّة</w:t>
            </w:r>
            <w:r>
              <w:rPr>
                <w:rStyle w:val="IndexLink"/>
                <w:rtl w:val="true"/>
              </w:rPr>
              <w:tab/>
            </w:r>
            <w:r>
              <w:rPr>
                <w:rStyle w:val="IndexLink"/>
              </w:rPr>
              <w:t>93</w:t>
            </w:r>
          </w:hyperlink>
        </w:p>
        <w:p>
          <w:pPr>
            <w:pStyle w:val="Contents4"/>
            <w:tabs>
              <w:tab w:val="clear" w:pos="8176"/>
              <w:tab w:val="right" w:pos="9026" w:leader="dot"/>
            </w:tabs>
            <w:rPr/>
          </w:pPr>
          <w:hyperlink w:anchor="__RefHeading___Toc1920362_581953129">
            <w:r>
              <w:rPr>
                <w:webHidden/>
                <w:rStyle w:val="IndexLink"/>
                <w:rtl w:val="true"/>
              </w:rPr>
              <w:t>عدم جریان القرعة فی الشبهات الموضوعیّة المستبطة</w:t>
            </w:r>
            <w:r>
              <w:rPr>
                <w:rStyle w:val="IndexLink"/>
                <w:rtl w:val="true"/>
              </w:rPr>
              <w:tab/>
            </w:r>
            <w:r>
              <w:rPr>
                <w:rStyle w:val="IndexLink"/>
              </w:rPr>
              <w:t>94</w:t>
            </w:r>
          </w:hyperlink>
        </w:p>
        <w:p>
          <w:pPr>
            <w:pStyle w:val="Contents4"/>
            <w:tabs>
              <w:tab w:val="clear" w:pos="8176"/>
              <w:tab w:val="right" w:pos="9026" w:leader="dot"/>
            </w:tabs>
            <w:rPr/>
          </w:pPr>
          <w:hyperlink w:anchor="__RefHeading___Toc1920364_581953129">
            <w:r>
              <w:rPr>
                <w:webHidden/>
                <w:rStyle w:val="IndexLink"/>
                <w:rtl w:val="true"/>
              </w:rPr>
              <w:t>عدم جریان القرعة فی قسمین من الشبهات الموضوعیّة الصرفه وجریانها فی قسم واحد منها</w:t>
            </w:r>
            <w:r>
              <w:rPr>
                <w:rStyle w:val="IndexLink"/>
                <w:rtl w:val="true"/>
              </w:rPr>
              <w:tab/>
            </w:r>
            <w:r>
              <w:rPr>
                <w:rStyle w:val="IndexLink"/>
              </w:rPr>
              <w:t>95</w:t>
            </w:r>
          </w:hyperlink>
        </w:p>
        <w:p>
          <w:pPr>
            <w:pStyle w:val="Contents4"/>
            <w:tabs>
              <w:tab w:val="clear" w:pos="8176"/>
              <w:tab w:val="right" w:pos="9026" w:leader="dot"/>
            </w:tabs>
            <w:rPr/>
          </w:pPr>
          <w:hyperlink w:anchor="__RefHeading___Toc1920366_581953129">
            <w:r>
              <w:rPr>
                <w:webHidden/>
                <w:rStyle w:val="IndexLink"/>
                <w:rtl w:val="true"/>
              </w:rPr>
              <w:t>الإیرادات والنقوص الواردة علی صاحب العناوین</w:t>
            </w:r>
            <w:r>
              <w:rPr>
                <w:rStyle w:val="IndexLink"/>
                <w:rtl w:val="true"/>
              </w:rPr>
              <w:tab/>
            </w:r>
            <w:r>
              <w:rPr>
                <w:rStyle w:val="IndexLink"/>
              </w:rPr>
              <w:t>97</w:t>
            </w:r>
          </w:hyperlink>
        </w:p>
        <w:p>
          <w:pPr>
            <w:pStyle w:val="Contents4"/>
            <w:tabs>
              <w:tab w:val="clear" w:pos="8176"/>
              <w:tab w:val="right" w:pos="9026" w:leader="dot"/>
            </w:tabs>
            <w:rPr/>
          </w:pPr>
          <w:hyperlink w:anchor="__RefHeading___Toc1920368_581953129">
            <w:r>
              <w:rPr>
                <w:webHidden/>
                <w:rStyle w:val="IndexLink"/>
                <w:rtl w:val="true"/>
              </w:rPr>
              <w:t>ذکر موارد من الشبهات الحکمیّة التی حکموا بجریان القرعة فیها</w:t>
            </w:r>
            <w:r>
              <w:rPr>
                <w:rStyle w:val="IndexLink"/>
                <w:rtl w:val="true"/>
              </w:rPr>
              <w:tab/>
            </w:r>
            <w:r>
              <w:rPr>
                <w:rStyle w:val="IndexLink"/>
              </w:rPr>
              <w:t>100</w:t>
            </w:r>
          </w:hyperlink>
        </w:p>
        <w:p>
          <w:pPr>
            <w:pStyle w:val="Contents5"/>
            <w:tabs>
              <w:tab w:val="clear" w:pos="7892"/>
              <w:tab w:val="right" w:pos="9026" w:leader="dot"/>
            </w:tabs>
            <w:rPr/>
          </w:pPr>
          <w:hyperlink w:anchor="__RefHeading___Toc1920370_581953129">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1920372_581953129">
            <w:r>
              <w:rPr>
                <w:webHidden/>
                <w:rStyle w:val="IndexLink"/>
              </w:rPr>
              <w:t>1</w:t>
            </w:r>
            <w:r>
              <w:rPr>
                <w:rStyle w:val="IndexLink"/>
                <w:rtl w:val="true"/>
              </w:rPr>
              <w:t xml:space="preserve"> - </w:t>
            </w:r>
            <w:r>
              <w:rPr>
                <w:rStyle w:val="IndexLink"/>
                <w:rtl w:val="true"/>
              </w:rPr>
              <w:t>فیما لو اجتمع میّت ومحدث وجنب ولم یکن الماء صالحاً إلاّ لأحدهم</w:t>
            </w:r>
            <w:r>
              <w:rPr>
                <w:rStyle w:val="IndexLink"/>
                <w:rtl w:val="true"/>
              </w:rPr>
              <w:tab/>
            </w:r>
            <w:r>
              <w:rPr>
                <w:rStyle w:val="IndexLink"/>
              </w:rPr>
              <w:t>100</w:t>
            </w:r>
          </w:hyperlink>
        </w:p>
        <w:p>
          <w:pPr>
            <w:pStyle w:val="Contents5"/>
            <w:tabs>
              <w:tab w:val="clear" w:pos="7892"/>
              <w:tab w:val="right" w:pos="9026" w:leader="dot"/>
            </w:tabs>
            <w:rPr/>
          </w:pPr>
          <w:hyperlink w:anchor="__RefHeading___Toc1920374_581953129">
            <w:r>
              <w:rPr>
                <w:webHidden/>
                <w:rStyle w:val="IndexLink"/>
              </w:rPr>
              <w:t>2</w:t>
            </w:r>
            <w:r>
              <w:rPr>
                <w:rStyle w:val="IndexLink"/>
                <w:rtl w:val="true"/>
              </w:rPr>
              <w:t xml:space="preserve"> - </w:t>
            </w:r>
            <w:r>
              <w:rPr>
                <w:rStyle w:val="IndexLink"/>
                <w:rtl w:val="true"/>
              </w:rPr>
              <w:t>اذ کان الشخص متیمّما عن الغسل والوضوء ثم وجد ماءً صالحاً لأحدهما</w:t>
            </w:r>
            <w:r>
              <w:rPr>
                <w:rStyle w:val="IndexLink"/>
                <w:rtl w:val="true"/>
              </w:rPr>
              <w:tab/>
            </w:r>
            <w:r>
              <w:rPr>
                <w:rStyle w:val="IndexLink"/>
              </w:rPr>
              <w:t>102</w:t>
            </w:r>
          </w:hyperlink>
        </w:p>
        <w:p>
          <w:pPr>
            <w:pStyle w:val="Contents5"/>
            <w:tabs>
              <w:tab w:val="clear" w:pos="7892"/>
              <w:tab w:val="right" w:pos="9026" w:leader="dot"/>
            </w:tabs>
            <w:rPr/>
          </w:pPr>
          <w:hyperlink w:anchor="__RefHeading___Toc1920376_581953129">
            <w:r>
              <w:rPr>
                <w:webHidden/>
                <w:rStyle w:val="IndexLink"/>
              </w:rPr>
              <w:t>3</w:t>
            </w:r>
            <w:r>
              <w:rPr>
                <w:rStyle w:val="IndexLink"/>
                <w:rtl w:val="true"/>
              </w:rPr>
              <w:t xml:space="preserve"> - </w:t>
            </w:r>
            <w:r>
              <w:rPr>
                <w:rStyle w:val="IndexLink"/>
                <w:rtl w:val="true"/>
              </w:rPr>
              <w:t>لو نذر شخص بأن یتصدّق بالمال الزکوی إذا بلغ حدّ النصاب</w:t>
            </w:r>
            <w:r>
              <w:rPr>
                <w:rStyle w:val="IndexLink"/>
                <w:rtl w:val="true"/>
              </w:rPr>
              <w:tab/>
            </w:r>
            <w:r>
              <w:rPr>
                <w:rStyle w:val="IndexLink"/>
              </w:rPr>
              <w:t>103</w:t>
            </w:r>
          </w:hyperlink>
        </w:p>
        <w:p>
          <w:pPr>
            <w:pStyle w:val="Contents4"/>
            <w:tabs>
              <w:tab w:val="clear" w:pos="8176"/>
              <w:tab w:val="right" w:pos="9026" w:leader="dot"/>
            </w:tabs>
            <w:rPr/>
          </w:pPr>
          <w:hyperlink w:anchor="__RefHeading___Toc1920378_581953129">
            <w:r>
              <w:rPr>
                <w:webHidden/>
                <w:rStyle w:val="IndexLink"/>
                <w:rtl w:val="true"/>
              </w:rPr>
              <w:t>کلام السیّد المحقّق الأعظم الإمام الخمینی قدس سره</w:t>
            </w:r>
            <w:r>
              <w:rPr>
                <w:rStyle w:val="IndexLink"/>
                <w:rtl w:val="true"/>
              </w:rPr>
              <w:t>:</w:t>
              <w:tab/>
            </w:r>
            <w:r>
              <w:rPr>
                <w:rStyle w:val="IndexLink"/>
              </w:rPr>
              <w:t>103</w:t>
            </w:r>
          </w:hyperlink>
        </w:p>
        <w:p>
          <w:pPr>
            <w:pStyle w:val="Contents4"/>
            <w:tabs>
              <w:tab w:val="clear" w:pos="8176"/>
              <w:tab w:val="right" w:pos="9026" w:leader="dot"/>
            </w:tabs>
            <w:rPr/>
          </w:pPr>
          <w:hyperlink w:anchor="__RefHeading___Toc1920380_581953129">
            <w:r>
              <w:rPr>
                <w:webHidden/>
                <w:rStyle w:val="IndexLink"/>
                <w:rtl w:val="true"/>
              </w:rPr>
              <w:t>بطلان تضعیف عمومات القرعة بکثرة التخصیص، وکون القرعة مختصّة بباب القضاء</w:t>
            </w:r>
            <w:r>
              <w:rPr>
                <w:rStyle w:val="IndexLink"/>
                <w:rtl w:val="true"/>
              </w:rPr>
              <w:tab/>
            </w:r>
            <w:r>
              <w:rPr>
                <w:rStyle w:val="IndexLink"/>
              </w:rPr>
              <w:t>103</w:t>
            </w:r>
          </w:hyperlink>
        </w:p>
        <w:p>
          <w:pPr>
            <w:pStyle w:val="Contents4"/>
            <w:tabs>
              <w:tab w:val="clear" w:pos="8176"/>
              <w:tab w:val="right" w:pos="9026" w:leader="dot"/>
            </w:tabs>
            <w:rPr/>
          </w:pPr>
          <w:hyperlink w:anchor="__RefHeading___Toc1920382_581953129">
            <w:r>
              <w:rPr>
                <w:webHidden/>
                <w:rStyle w:val="IndexLink"/>
                <w:rtl w:val="true"/>
              </w:rPr>
              <w:t>کلام السیّد المحقّق الداماد</w:t>
            </w:r>
            <w:r>
              <w:rPr>
                <w:rStyle w:val="IndexLink"/>
                <w:rtl w:val="true"/>
              </w:rPr>
              <w:tab/>
            </w:r>
            <w:r>
              <w:rPr>
                <w:rStyle w:val="IndexLink"/>
              </w:rPr>
              <w:t>106</w:t>
            </w:r>
          </w:hyperlink>
        </w:p>
        <w:p>
          <w:pPr>
            <w:pStyle w:val="Contents4"/>
            <w:tabs>
              <w:tab w:val="clear" w:pos="8176"/>
              <w:tab w:val="right" w:pos="9026" w:leader="dot"/>
            </w:tabs>
            <w:rPr/>
          </w:pPr>
          <w:hyperlink w:anchor="__RefHeading___Toc1920384_581953129">
            <w:r>
              <w:rPr>
                <w:webHidden/>
                <w:rStyle w:val="IndexLink"/>
                <w:rtl w:val="true"/>
              </w:rPr>
              <w:t>الملاحظات الواردة علی السیّد الإمام الخمینی والسیّد الداماد</w:t>
            </w:r>
            <w:r>
              <w:rPr>
                <w:rStyle w:val="IndexLink"/>
                <w:rtl w:val="true"/>
              </w:rPr>
              <w:tab/>
            </w:r>
            <w:r>
              <w:rPr>
                <w:rStyle w:val="IndexLink"/>
              </w:rPr>
              <w:t>107</w:t>
            </w:r>
          </w:hyperlink>
        </w:p>
        <w:p>
          <w:pPr>
            <w:pStyle w:val="Contents4"/>
            <w:tabs>
              <w:tab w:val="clear" w:pos="8176"/>
              <w:tab w:val="right" w:pos="9026" w:leader="dot"/>
            </w:tabs>
            <w:rPr/>
          </w:pPr>
          <w:hyperlink w:anchor="__RefHeading___Toc1920386_581953129">
            <w:r>
              <w:rPr>
                <w:webHidden/>
                <w:rStyle w:val="IndexLink"/>
                <w:rtl w:val="true"/>
              </w:rPr>
              <w:t>مختار المؤلّف وموافقته للمحقّق البجنوردی فی موارد إجراء القرعة</w:t>
            </w:r>
            <w:r>
              <w:rPr>
                <w:rStyle w:val="IndexLink"/>
                <w:rtl w:val="true"/>
              </w:rPr>
              <w:tab/>
            </w:r>
            <w:r>
              <w:rPr>
                <w:rStyle w:val="IndexLink"/>
              </w:rPr>
              <w:t>110</w:t>
            </w:r>
          </w:hyperlink>
        </w:p>
        <w:p>
          <w:pPr>
            <w:pStyle w:val="Contents3"/>
            <w:tabs>
              <w:tab w:val="clear" w:pos="8459"/>
              <w:tab w:val="right" w:pos="9026" w:leader="dot"/>
            </w:tabs>
            <w:rPr/>
          </w:pPr>
          <w:hyperlink w:anchor="__RefHeading___Toc1920388_581953129">
            <w:r>
              <w:rPr>
                <w:webHidden/>
                <w:rStyle w:val="IndexLink"/>
                <w:rtl w:val="true"/>
              </w:rPr>
              <w:t>التنبیه الثانی</w:t>
            </w:r>
            <w:r>
              <w:rPr>
                <w:rStyle w:val="IndexLink"/>
                <w:rtl w:val="true"/>
              </w:rPr>
              <w:t xml:space="preserve">: </w:t>
            </w:r>
            <w:r>
              <w:rPr>
                <w:rStyle w:val="IndexLink"/>
                <w:rtl w:val="true"/>
              </w:rPr>
              <w:t>أنّ القرعة من الأمارات أو الاُصول ؟</w:t>
            </w:r>
            <w:r>
              <w:rPr>
                <w:rStyle w:val="IndexLink"/>
                <w:rtl w:val="true"/>
              </w:rPr>
              <w:tab/>
            </w:r>
            <w:r>
              <w:rPr>
                <w:rStyle w:val="IndexLink"/>
              </w:rPr>
              <w:t>111</w:t>
            </w:r>
          </w:hyperlink>
        </w:p>
        <w:p>
          <w:pPr>
            <w:pStyle w:val="Contents4"/>
            <w:tabs>
              <w:tab w:val="clear" w:pos="8176"/>
              <w:tab w:val="right" w:pos="9026" w:leader="dot"/>
            </w:tabs>
            <w:rPr/>
          </w:pPr>
          <w:hyperlink w:anchor="__RefHeading___Toc1920390_581953129">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1920392_581953129">
            <w:r>
              <w:rPr>
                <w:webHidden/>
                <w:rStyle w:val="IndexLink"/>
                <w:rtl w:val="true"/>
              </w:rPr>
              <w:t>أدلّة أماریّة القرعة</w:t>
            </w:r>
            <w:r>
              <w:rPr>
                <w:rStyle w:val="IndexLink"/>
                <w:rtl w:val="true"/>
              </w:rPr>
              <w:tab/>
            </w:r>
            <w:r>
              <w:rPr>
                <w:rStyle w:val="IndexLink"/>
              </w:rPr>
              <w:t>111</w:t>
            </w:r>
          </w:hyperlink>
        </w:p>
        <w:p>
          <w:pPr>
            <w:pStyle w:val="Contents4"/>
            <w:tabs>
              <w:tab w:val="clear" w:pos="8176"/>
              <w:tab w:val="right" w:pos="9026" w:leader="dot"/>
            </w:tabs>
            <w:rPr/>
          </w:pPr>
          <w:hyperlink w:anchor="__RefHeading___Toc1920394_581953129">
            <w:r>
              <w:rPr>
                <w:webHidden/>
                <w:rStyle w:val="IndexLink"/>
                <w:rtl w:val="true"/>
              </w:rPr>
              <w:t>أدلّة کون القرعة من الأصول وردّها</w:t>
            </w:r>
            <w:r>
              <w:rPr>
                <w:rStyle w:val="IndexLink"/>
                <w:rtl w:val="true"/>
              </w:rPr>
              <w:tab/>
            </w:r>
            <w:r>
              <w:rPr>
                <w:rStyle w:val="IndexLink"/>
              </w:rPr>
              <w:t>113</w:t>
            </w:r>
          </w:hyperlink>
        </w:p>
        <w:p>
          <w:pPr>
            <w:pStyle w:val="Contents2"/>
            <w:tabs>
              <w:tab w:val="clear" w:pos="8743"/>
              <w:tab w:val="right" w:pos="9026" w:leader="dot"/>
            </w:tabs>
            <w:rPr/>
          </w:pPr>
          <w:hyperlink w:anchor="__RefHeading___Toc1920396_581953129">
            <w:r>
              <w:rPr>
                <w:webHidden/>
                <w:rStyle w:val="IndexLink"/>
                <w:rtl w:val="true"/>
              </w:rPr>
              <w:t>فهرس المنابع</w:t>
            </w:r>
            <w:r>
              <w:rPr>
                <w:rStyle w:val="IndexLink"/>
                <w:rtl w:val="true"/>
              </w:rPr>
              <w:tab/>
            </w:r>
            <w:r>
              <w:rPr>
                <w:rStyle w:val="IndexLink"/>
              </w:rPr>
              <w:t>115</w:t>
            </w:r>
          </w:hyperlink>
        </w:p>
        <w:p>
          <w:pPr>
            <w:pStyle w:val="Contents2"/>
            <w:tabs>
              <w:tab w:val="clear" w:pos="8743"/>
              <w:tab w:val="right" w:pos="9026" w:leader="dot"/>
            </w:tabs>
            <w:rPr/>
          </w:pPr>
          <w:hyperlink w:anchor="__RefHeading___Toc1920398_581953129">
            <w:r>
              <w:rPr>
                <w:webHidden/>
                <w:rStyle w:val="IndexLink"/>
                <w:rtl w:val="true"/>
              </w:rPr>
              <w:t>فهرس المواضیع</w:t>
            </w:r>
            <w:r>
              <w:rPr>
                <w:rStyle w:val="IndexLink"/>
                <w:rtl w:val="true"/>
              </w:rPr>
              <w:tab/>
            </w:r>
            <w:r>
              <w:rPr>
                <w:rStyle w:val="IndexLink"/>
              </w:rPr>
              <w:t>133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48_41198"/>
      <w:bookmarkStart w:id="1" w:name="pg5448_41198"/>
      <w:bookmarkEnd w:id="1"/>
    </w:p>
    <w:p>
      <w:pPr>
        <w:pStyle w:val="Heading2"/>
        <w:numPr>
          <w:ilvl w:val="1"/>
          <w:numId w:val="1"/>
        </w:numPr>
        <w:rPr/>
      </w:pPr>
      <w:bookmarkStart w:id="2" w:name="pg5448_41198"/>
      <w:bookmarkStart w:id="3" w:name="__RefHeading___Toc1920144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فاضل‌لنکرانی، محمدجواد،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Fadhil Lankarani, Muhammad Jawad</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القرعه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محمدجواد الفاضل‌اللنکرانی دام‌ظله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فقهی ایمه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دروس‌القواعدالفقهیه؛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w:t>
      </w:r>
      <w:r>
        <w:rPr>
          <w:rFonts w:eastAsia="IRNazanin" w:cs="IRNazanin"/>
          <w:color w:val="111111"/>
          <w:sz w:val="28"/>
          <w:szCs w:val="28"/>
          <w:lang w:bidi="fa-IR"/>
        </w:rPr>
        <w:t>072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قرعه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Qur'a formula (Islamic law)</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قرعه‌کشی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Lotteries -- *Religious aspects -- Islam</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۱۶۹</w:t>
      </w:r>
      <w:r>
        <w:rPr>
          <w:rFonts w:eastAsia="IRNazanin" w:cs="IRNazanin"/>
          <w:color w:val="111111"/>
          <w:sz w:val="28"/>
          <w:szCs w:val="28"/>
          <w:lang w:bidi="fa-IR"/>
        </w:rPr>
        <w:t>/</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۳۲۴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۴۷۸۰۴۸۸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20146_581953129"/>
      <w:bookmarkStart w:id="6" w:name="_Toc2"/>
      <w:bookmarkEnd w:id="5"/>
      <w:r>
        <w:rPr>
          <w:rtl w:val="true"/>
        </w:rPr>
        <w:t>هویة الکتاب</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قاعده القرعه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محمدجواد الفاضل‌اللنکرانی دام‌ظله</w:t>
      </w:r>
      <w:bookmarkStart w:id="7" w:name="pg5448_41202"/>
    </w:p>
    <w:p>
      <w:pPr>
        <w:pStyle w:val="Heading2"/>
        <w:numPr>
          <w:ilvl w:val="1"/>
          <w:numId w:val="1"/>
        </w:numPr>
        <w:rPr/>
      </w:pPr>
      <w:bookmarkStart w:id="8" w:name="__RefHeading___Toc1920148_581953129"/>
      <w:bookmarkStart w:id="9" w:name="_Toc3"/>
      <w:bookmarkEnd w:id="7"/>
      <w:bookmarkEnd w:id="8"/>
      <w:r>
        <w:rPr>
          <w:rtl w:val="true"/>
        </w:rPr>
        <w:t>مقدمة المولف</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من القواعد الفقهیة المهمّة الجاریة فی کثیر من الفروع بل فی جمیعها هی قاعدة القرعة وهی مضافاً إلی أنّها من الأمور العقلائیة، مستفادة من القرآن الکریم والروایات النبویّة وأحادیث الأئمّة الطاهرین صلوات اللّه علیهم أجمعین والعقل والاجماع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حسب ما حقّقناه أنّها أوسع دائرة من مواردها عند العقلاء وعلی حسب رأینا هی قاعدة تعبّدیة شرعیة وهی جاریة علی حسب أدلّتها فی الشبهات الموضوعیة المقرونة بالعلم الإجمالی خلافاً لما ذهب إلیه الکثیر من الفقهاء وهی أیضاً حسب ما یستفاد من ظواهر الأدلّة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حکم اللّه به فلیس بمخطیء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الأمارات ولیست من الأصول</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والکتاب الموجود بین أیدیکم من المباحث التی ألقیناها لجمع کثیر من الفضلاء فی شهر رمضان المبارک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المصادف 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الهجری الشمسی فی قم المقدّسة عُشّ آل محمّد صلی الله علیه و آله وفیه تحقیقات</w:t>
      </w:r>
    </w:p>
    <w:p>
      <w:pPr>
        <w:pStyle w:val="BookText"/>
        <w:rPr/>
      </w:pPr>
      <w:r>
        <w:rPr>
          <w:rFonts w:ascii="IRNazanin" w:hAnsi="IRNazanin" w:eastAsia="IRNazanin"/>
          <w:color w:val="111111"/>
          <w:sz w:val="28"/>
          <w:sz w:val="28"/>
          <w:szCs w:val="28"/>
          <w:rtl w:val="true"/>
          <w:lang w:bidi="fa-IR"/>
        </w:rPr>
        <w:t>بدیعة نافعة نسئل اللّه تبارک وتعالی أن یجعله ذخراً لیوم لا ینفع فیه مال ولا بنون وأن یقبله بقبول حسن ونشکر من الإخوة المسئولین فی مرکز فقه الأئمّة الأطهار علیهم السلام حیث أنّهم حاولوا لنشر هذا الأثر القیّم سیّما مدیر المرکز سماحة حجّة الإسلام والمسلمین الشیخ محمّدرضا الفاضل الکاشانی دامت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فقه الائمّة الأطهار علیهم السلام</w:t>
      </w:r>
    </w:p>
    <w:p>
      <w:pPr>
        <w:pStyle w:val="BookText"/>
        <w:rPr/>
      </w:pPr>
      <w:r>
        <w:rPr>
          <w:rFonts w:ascii="IRNazanin" w:hAnsi="IRNazanin" w:eastAsia="IRNazanin"/>
          <w:color w:val="111111"/>
          <w:sz w:val="28"/>
          <w:sz w:val="28"/>
          <w:szCs w:val="28"/>
          <w:rtl w:val="true"/>
          <w:lang w:bidi="fa-IR"/>
        </w:rPr>
        <w:t>محمّد جواد الفاضل اللنکرانی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ذیقعدة الحرام </w:t>
      </w:r>
      <w:r>
        <w:rPr>
          <w:rFonts w:eastAsia="IRNazanin" w:cs="IRNazanin"/>
          <w:color w:val="111111"/>
          <w:sz w:val="28"/>
          <w:szCs w:val="28"/>
          <w:lang w:bidi="fa-IR"/>
        </w:rPr>
        <w:t>1438</w:t>
      </w:r>
      <w:bookmarkStart w:id="10" w:name="pg5448_41204"/>
    </w:p>
    <w:p>
      <w:pPr>
        <w:pStyle w:val="Heading2"/>
        <w:numPr>
          <w:ilvl w:val="1"/>
          <w:numId w:val="1"/>
        </w:numPr>
        <w:rPr/>
      </w:pPr>
      <w:bookmarkStart w:id="11" w:name="__RefHeading___Toc1920150_581953129"/>
      <w:bookmarkStart w:id="12" w:name="_Toc4"/>
      <w:bookmarkEnd w:id="10"/>
      <w:bookmarkEnd w:id="11"/>
      <w:r>
        <w:rPr>
          <w:rtl w:val="true"/>
        </w:rPr>
        <w:t xml:space="preserve">بعض النکات المهمّة فی القاعدة </w:t>
      </w:r>
      <w:r>
        <w:rPr>
          <w:rtl w:val="true"/>
        </w:rPr>
        <w:t>(</w:t>
      </w:r>
      <w:r>
        <w:rPr>
          <w:rtl w:val="true"/>
        </w:rPr>
        <w:t>القرعة</w:t>
      </w:r>
      <w:r>
        <w:rPr>
          <w:rtl w:val="true"/>
        </w:rPr>
        <w:t>)</w:t>
      </w:r>
      <w:bookmarkEnd w:id="12"/>
    </w:p>
    <w:p>
      <w:pPr>
        <w:pStyle w:val="Heading3"/>
        <w:numPr>
          <w:ilvl w:val="2"/>
          <w:numId w:val="1"/>
        </w:numPr>
        <w:rPr/>
      </w:pPr>
      <w:bookmarkStart w:id="13" w:name="__RefHeading___Toc1920152_581953129"/>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قاعدة القرعة</w:t>
      </w:r>
    </w:p>
    <w:p>
      <w:pPr>
        <w:pStyle w:val="BookText"/>
        <w:rPr/>
      </w:pPr>
      <w:r>
        <w:rPr>
          <w:rFonts w:ascii="IRNazanin" w:hAnsi="IRNazanin" w:eastAsia="IRNazanin"/>
          <w:color w:val="111111"/>
          <w:sz w:val="28"/>
          <w:sz w:val="28"/>
          <w:szCs w:val="28"/>
          <w:rtl w:val="true"/>
          <w:lang w:bidi="fa-IR"/>
        </w:rPr>
        <w:t>وهی من القواعد الفقهیّة الجاریة فی کثیر بل فی جمیع أبواب الفقه من الطهارة إلی الدیات حسب تتبّعنا، ونذکر مقدّمة بعض النکات المهمّة البحوث عنها فی هذه القاعدة وهی</w:t>
      </w:r>
      <w:r>
        <w:rPr>
          <w:rFonts w:eastAsia="IRNazanin" w:cs="IRNazanin"/>
          <w:color w:val="111111"/>
          <w:sz w:val="28"/>
          <w:szCs w:val="28"/>
          <w:rtl w:val="true"/>
          <w:lang w:bidi="fa-IR"/>
        </w:rPr>
        <w:t>:</w:t>
      </w:r>
    </w:p>
    <w:p>
      <w:pPr>
        <w:pStyle w:val="Heading3"/>
        <w:numPr>
          <w:ilvl w:val="2"/>
          <w:numId w:val="1"/>
        </w:numPr>
        <w:rPr/>
      </w:pPr>
      <w:bookmarkStart w:id="15" w:name="__RefHeading___Toc1920154_581953129"/>
      <w:bookmarkStart w:id="16" w:name="_Toc6"/>
      <w:bookmarkEnd w:id="15"/>
      <w:r>
        <w:rPr>
          <w:rtl w:val="true"/>
        </w:rPr>
        <w:t>الأولی</w:t>
      </w:r>
      <w:r>
        <w:rPr>
          <w:rtl w:val="true"/>
        </w:rPr>
        <w:t xml:space="preserve">: </w:t>
      </w:r>
      <w:r>
        <w:rPr>
          <w:rtl w:val="true"/>
        </w:rPr>
        <w:t>حقیقة القاعدة وأنّها شرعیّة تأسیسیّة أو عقلائیّة امضائیّة</w:t>
      </w:r>
      <w:bookmarkEnd w:id="16"/>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 نّها من القواعد التعبّدیّة الشرعیّة التأسیسیّة، أم من القواعد الإمضائیّة؟ فهی فی الحقیقة تأیید وإمضاء لما استقرّ علیه سیرة العقلاء، وهل تکون دائرة الإمضاء محدودة بما هو محدود عندهم أم لا؟ وربما یحتمل أن تکون القرعة عند الشرع أوسع أو أضیق</w:t>
      </w:r>
      <w:r>
        <w:rPr>
          <w:rFonts w:eastAsia="IRNazanin" w:cs="IRNazanin"/>
          <w:color w:val="111111"/>
          <w:sz w:val="28"/>
          <w:szCs w:val="28"/>
          <w:rtl w:val="true"/>
          <w:lang w:bidi="fa-IR"/>
        </w:rPr>
        <w:t>.</w:t>
      </w:r>
    </w:p>
    <w:p>
      <w:pPr>
        <w:pStyle w:val="Heading3"/>
        <w:numPr>
          <w:ilvl w:val="2"/>
          <w:numId w:val="1"/>
        </w:numPr>
        <w:rPr/>
      </w:pPr>
      <w:bookmarkStart w:id="17" w:name="__RefHeading___Toc1920156_581953129"/>
      <w:bookmarkStart w:id="18" w:name="_Toc7"/>
      <w:bookmarkEnd w:id="17"/>
      <w:r>
        <w:rPr>
          <w:rtl w:val="true"/>
        </w:rPr>
        <w:t>الثانیة</w:t>
      </w:r>
      <w:r>
        <w:rPr>
          <w:rtl w:val="true"/>
        </w:rPr>
        <w:t xml:space="preserve">: </w:t>
      </w:r>
      <w:r>
        <w:rPr>
          <w:rtl w:val="true"/>
        </w:rPr>
        <w:t>موارد جریان القاعدة اجمالاً</w:t>
      </w:r>
      <w:bookmarkEnd w:id="18"/>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جریانها فی عموم المشکلات والمجهولات حتّی الشبهات الحکمیّة وعدمه، فربما یطرح هذا السؤال؛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أیّ فرق بین موارد الأُصول العملیّة، کالبراءة والتخییر والاشتغال والاستصحاب، وموارد القرعة؟ فلماذا لا تجری القرعة فی الشبهات التی تجری فیها هذه الأُصول العملیّة؟ سیّما أ 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لسان</w:t>
      </w:r>
      <w:bookmarkStart w:id="19" w:name="pg5448_41205"/>
    </w:p>
    <w:p>
      <w:pPr>
        <w:pStyle w:val="BookText"/>
        <w:rPr/>
      </w:pPr>
      <w:bookmarkEnd w:id="19"/>
      <w:r>
        <w:rPr>
          <w:rFonts w:ascii="IRNazanin" w:hAnsi="IRNazanin" w:eastAsia="IRNazanin"/>
          <w:color w:val="111111"/>
          <w:sz w:val="28"/>
          <w:sz w:val="28"/>
          <w:szCs w:val="28"/>
          <w:rtl w:val="true"/>
          <w:lang w:bidi="fa-IR"/>
        </w:rPr>
        <w:t xml:space="preserve">أدلّة البراءة علی سیاق لسان القرعة، فکما أ نّه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القرعة لکلّ أمرٍ مجهول أو مُشکل</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نتیجة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الرفع</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أنّ البراءة لکلّ أمرٍ مجهول، فما هو الفرق الأساسی بینهما؟</w:t>
      </w:r>
    </w:p>
    <w:p>
      <w:pPr>
        <w:pStyle w:val="BookText"/>
        <w:rPr/>
      </w:pPr>
      <w:r>
        <w:rPr>
          <w:rFonts w:ascii="IRNazanin" w:hAnsi="IRNazanin" w:eastAsia="IRNazanin"/>
          <w:color w:val="111111"/>
          <w:sz w:val="28"/>
          <w:sz w:val="28"/>
          <w:szCs w:val="28"/>
          <w:rtl w:val="true"/>
          <w:lang w:bidi="fa-IR"/>
        </w:rPr>
        <w:t>کما أ نّه قد وقع النزاع فی اختصاص القرعة بالموضوعات الخارجیّة الصرفة أم لا، وهل تجری فی الأحکام الشرعیّة فیما لم یکن طریق إلیها إلّا القرعة أم لا؟ وعلی فرض الاختصاص بالموضوعات، فهل یعتبر فی جریانها کونها من الحقوق المالیّة التی تکون مورداً للنزاع والتشاجر أم لا یعتبر؟</w:t>
      </w:r>
    </w:p>
    <w:p>
      <w:pPr>
        <w:pStyle w:val="Heading3"/>
        <w:numPr>
          <w:ilvl w:val="2"/>
          <w:numId w:val="1"/>
        </w:numPr>
        <w:rPr/>
      </w:pPr>
      <w:bookmarkStart w:id="20" w:name="__RefHeading___Toc1920158_581953129"/>
      <w:bookmarkStart w:id="21" w:name="_Toc8"/>
      <w:bookmarkEnd w:id="20"/>
      <w:r>
        <w:rPr>
          <w:rtl w:val="true"/>
        </w:rPr>
        <w:t>الثالثة</w:t>
      </w:r>
      <w:r>
        <w:rPr>
          <w:rtl w:val="true"/>
        </w:rPr>
        <w:t xml:space="preserve">: </w:t>
      </w:r>
      <w:r>
        <w:rPr>
          <w:rtl w:val="true"/>
        </w:rPr>
        <w:t>هل تخرج القرعة عن کونها من القواعد بسبب التخصیصات الکثیرة</w:t>
      </w:r>
      <w:bookmarkEnd w:id="21"/>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ورود التخصیص الکثیر علیها وعدمه، وهل یکون علی حدّ صار العموم فی القاعدة موهوناً غیر قابل للاستدلال أم لا؟ فربما صرّح بعضٌ کالشیخ الأعظم والسید المحقق الخوئی فی بعضی المواضع من موسوعته</w:t>
      </w:r>
      <w:r>
        <w:rPr>
          <w:rStyle w:val="FootnoteAnchor"/>
          <w:rtl w:val="true"/>
        </w:rPr>
        <w:footnoteReference w:id="4"/>
      </w:r>
      <w:r>
        <w:rPr>
          <w:rFonts w:ascii="IRNazanin" w:hAnsi="IRNazanin" w:eastAsia="IRNazanin"/>
          <w:color w:val="111111"/>
          <w:sz w:val="28"/>
          <w:sz w:val="28"/>
          <w:szCs w:val="28"/>
          <w:rtl w:val="true"/>
          <w:lang w:bidi="fa-IR"/>
        </w:rPr>
        <w:t>بوجوب العمل بالقرعة فیما إذا عمل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غیرها، فلا یصحّ التمسّک بهذه القاعدة من أجل ورود التخصیصات المتعدّدة علیه، وبناءً علیه تخرج القرعة عن کونها</w:t>
      </w:r>
      <w:bookmarkStart w:id="22" w:name="pg5448_41206"/>
    </w:p>
    <w:p>
      <w:pPr>
        <w:pStyle w:val="BookText"/>
        <w:rPr/>
      </w:pPr>
      <w:bookmarkEnd w:id="22"/>
      <w:r>
        <w:rPr>
          <w:rFonts w:ascii="IRNazanin" w:hAnsi="IRNazanin" w:eastAsia="IRNazanin"/>
          <w:color w:val="111111"/>
          <w:sz w:val="28"/>
          <w:sz w:val="28"/>
          <w:szCs w:val="28"/>
          <w:rtl w:val="true"/>
          <w:lang w:bidi="fa-IR"/>
        </w:rPr>
        <w:t>قاعدة من القواعد، کما هو واضح</w:t>
      </w:r>
      <w:r>
        <w:rPr>
          <w:rFonts w:eastAsia="IRNazanin" w:cs="IRNazanin"/>
          <w:color w:val="111111"/>
          <w:sz w:val="28"/>
          <w:szCs w:val="28"/>
          <w:rtl w:val="true"/>
          <w:lang w:bidi="fa-IR"/>
        </w:rPr>
        <w:t>.</w:t>
      </w:r>
    </w:p>
    <w:p>
      <w:pPr>
        <w:pStyle w:val="Heading3"/>
        <w:numPr>
          <w:ilvl w:val="2"/>
          <w:numId w:val="1"/>
        </w:numPr>
        <w:rPr/>
      </w:pPr>
      <w:bookmarkStart w:id="23" w:name="__RefHeading___Toc1920160_581953129"/>
      <w:bookmarkStart w:id="24" w:name="_Toc9"/>
      <w:bookmarkEnd w:id="23"/>
      <w:r>
        <w:rPr>
          <w:rtl w:val="true"/>
        </w:rPr>
        <w:t>الرابعة</w:t>
      </w:r>
      <w:r>
        <w:rPr>
          <w:rtl w:val="true"/>
        </w:rPr>
        <w:t xml:space="preserve">: </w:t>
      </w:r>
      <w:r>
        <w:rPr>
          <w:rtl w:val="true"/>
        </w:rPr>
        <w:t>هل القرعة من الأمارات أو الاُصول ؟</w:t>
      </w:r>
      <w:bookmarkEnd w:id="24"/>
    </w:p>
    <w:p>
      <w:pPr>
        <w:pStyle w:val="BookText"/>
        <w:rPr/>
      </w:pPr>
      <w:r>
        <w:rPr>
          <w:rFonts w:ascii="IRNazanin" w:hAnsi="IRNazanin" w:eastAsia="IRNazanin"/>
          <w:color w:val="111111"/>
          <w:sz w:val="28"/>
          <w:sz w:val="28"/>
          <w:szCs w:val="28"/>
          <w:rtl w:val="true"/>
          <w:lang w:bidi="fa-IR"/>
        </w:rPr>
        <w:t>والرابعة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 نّها أمارة کاشفة عن الواقع، أم تکون من الأُصول العملیّة؟ وربما یحتمل التفصیل بأن یُقال بأ نّها فی بعض الموارد من الأوّل وفی بعض آخر من الثانی</w:t>
      </w:r>
      <w:r>
        <w:rPr>
          <w:rFonts w:eastAsia="IRNazanin" w:cs="IRNazanin"/>
          <w:color w:val="111111"/>
          <w:sz w:val="28"/>
          <w:szCs w:val="28"/>
          <w:rtl w:val="true"/>
          <w:lang w:bidi="fa-IR"/>
        </w:rPr>
        <w:t>.</w:t>
      </w:r>
    </w:p>
    <w:p>
      <w:pPr>
        <w:pStyle w:val="Heading3"/>
        <w:numPr>
          <w:ilvl w:val="2"/>
          <w:numId w:val="1"/>
        </w:numPr>
        <w:rPr/>
      </w:pPr>
      <w:bookmarkStart w:id="25" w:name="__RefHeading___Toc1920162_581953129"/>
      <w:bookmarkStart w:id="26" w:name="_Toc10"/>
      <w:bookmarkEnd w:id="25"/>
      <w:r>
        <w:rPr>
          <w:rtl w:val="true"/>
        </w:rPr>
        <w:t>الخامسة</w:t>
      </w:r>
      <w:r>
        <w:rPr>
          <w:rtl w:val="true"/>
        </w:rPr>
        <w:t xml:space="preserve">: </w:t>
      </w:r>
      <w:r>
        <w:rPr>
          <w:rtl w:val="true"/>
        </w:rPr>
        <w:t>هل یمکن تشخیص معانی الألفاظ بالقرعة ؟</w:t>
      </w:r>
      <w:bookmarkEnd w:id="26"/>
    </w:p>
    <w:p>
      <w:pPr>
        <w:pStyle w:val="BookText"/>
        <w:rPr/>
      </w:pPr>
      <w:r>
        <w:rPr>
          <w:rFonts w:ascii="IRNazanin" w:hAnsi="IRNazanin" w:eastAsia="IRNazanin"/>
          <w:color w:val="111111"/>
          <w:sz w:val="28"/>
          <w:sz w:val="28"/>
          <w:szCs w:val="28"/>
          <w:rtl w:val="true"/>
          <w:lang w:bidi="fa-IR"/>
        </w:rPr>
        <w:t>والخامسة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أن تکون القرعة دلیلاً وأمارة علی تشخیص معانی الألفاظ فیما إذا لم یکن تشخیص الحقیقة من المجاز طریق آخر أم لا یمکن التمسّک بها فی هذه المورد؟</w:t>
      </w:r>
    </w:p>
    <w:p>
      <w:pPr>
        <w:pStyle w:val="Heading3"/>
        <w:numPr>
          <w:ilvl w:val="2"/>
          <w:numId w:val="1"/>
        </w:numPr>
        <w:rPr/>
      </w:pPr>
      <w:bookmarkStart w:id="27" w:name="__RefHeading___Toc1920164_581953129"/>
      <w:bookmarkStart w:id="28" w:name="_Toc11"/>
      <w:bookmarkEnd w:id="27"/>
      <w:r>
        <w:rPr>
          <w:rtl w:val="true"/>
        </w:rPr>
        <w:t>السادسة</w:t>
      </w:r>
      <w:r>
        <w:rPr>
          <w:rtl w:val="true"/>
        </w:rPr>
        <w:t xml:space="preserve">: </w:t>
      </w:r>
      <w:r>
        <w:rPr>
          <w:rtl w:val="true"/>
        </w:rPr>
        <w:t>هل هی عزیمة أو رخصته ؟</w:t>
      </w:r>
      <w:bookmarkEnd w:id="28"/>
    </w:p>
    <w:p>
      <w:pPr>
        <w:pStyle w:val="BookText"/>
        <w:rPr/>
      </w:pPr>
      <w:r>
        <w:rPr>
          <w:rFonts w:ascii="IRNazanin" w:hAnsi="IRNazanin" w:eastAsia="IRNazanin"/>
          <w:color w:val="111111"/>
          <w:sz w:val="28"/>
          <w:sz w:val="28"/>
          <w:szCs w:val="28"/>
          <w:rtl w:val="true"/>
          <w:lang w:bidi="fa-IR"/>
        </w:rPr>
        <w:t>والسادسة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نّها عزیمة لازمة العمل أم لا، بل هی رخصة ولا یجب العمل علی طبقها؟</w:t>
      </w:r>
    </w:p>
    <w:p>
      <w:pPr>
        <w:pStyle w:val="Heading3"/>
        <w:numPr>
          <w:ilvl w:val="2"/>
          <w:numId w:val="1"/>
        </w:numPr>
        <w:rPr/>
      </w:pPr>
      <w:bookmarkStart w:id="29" w:name="__RefHeading___Toc1920166_581953129"/>
      <w:bookmarkStart w:id="30" w:name="_Toc12"/>
      <w:bookmarkEnd w:id="29"/>
      <w:r>
        <w:rPr>
          <w:rtl w:val="true"/>
        </w:rPr>
        <w:t>السابعة</w:t>
      </w:r>
      <w:r>
        <w:rPr>
          <w:rtl w:val="true"/>
        </w:rPr>
        <w:t xml:space="preserve">: </w:t>
      </w:r>
      <w:r>
        <w:rPr>
          <w:rtl w:val="true"/>
        </w:rPr>
        <w:t>هل هی مختصّة بما إذا کان الواقع معیّنا ویکون الاشتباه بحسب الظاهر، أو تجری فیما إذا کان الواقع أیضاً غیر معیّناً؟</w:t>
      </w:r>
      <w:bookmarkEnd w:id="30"/>
    </w:p>
    <w:p>
      <w:pPr>
        <w:pStyle w:val="BookText"/>
        <w:rPr/>
      </w:pPr>
      <w:r>
        <w:rPr>
          <w:rFonts w:ascii="IRNazanin" w:hAnsi="IRNazanin" w:eastAsia="IRNazanin"/>
          <w:color w:val="111111"/>
          <w:sz w:val="28"/>
          <w:sz w:val="28"/>
          <w:szCs w:val="28"/>
          <w:rtl w:val="true"/>
          <w:lang w:bidi="fa-IR"/>
        </w:rPr>
        <w:t>والسابعة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 نّها مختصّة بما یکون الواقع معیّناً وإنّما الاشتباه بحسب الظاهر أم لا، بل یجری فیما إذا کان الواقع غیر معلوم أیضاً؟</w:t>
      </w:r>
    </w:p>
    <w:p>
      <w:pPr>
        <w:pStyle w:val="Heading3"/>
        <w:numPr>
          <w:ilvl w:val="2"/>
          <w:numId w:val="1"/>
        </w:numPr>
        <w:rPr/>
      </w:pPr>
      <w:bookmarkStart w:id="31" w:name="__RefHeading___Toc1920168_581953129"/>
      <w:bookmarkStart w:id="32" w:name="_Toc13"/>
      <w:bookmarkEnd w:id="31"/>
      <w:r>
        <w:rPr>
          <w:rtl w:val="true"/>
        </w:rPr>
        <w:t>الثامنة</w:t>
      </w:r>
      <w:r>
        <w:rPr>
          <w:rtl w:val="true"/>
        </w:rPr>
        <w:t xml:space="preserve">: </w:t>
      </w:r>
      <w:r>
        <w:rPr>
          <w:rtl w:val="true"/>
        </w:rPr>
        <w:t>هل تختصّ اجرائها بالإمام علیه السلام أم لا؟</w:t>
      </w:r>
      <w:bookmarkEnd w:id="32"/>
    </w:p>
    <w:p>
      <w:pPr>
        <w:pStyle w:val="BookText"/>
        <w:rPr/>
      </w:pPr>
      <w:r>
        <w:rPr>
          <w:rFonts w:ascii="IRNazanin" w:hAnsi="IRNazanin" w:eastAsia="IRNazanin"/>
          <w:color w:val="111111"/>
          <w:sz w:val="28"/>
          <w:sz w:val="28"/>
          <w:szCs w:val="28"/>
          <w:rtl w:val="true"/>
          <w:lang w:bidi="fa-IR"/>
        </w:rPr>
        <w:t>والثامنة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جریانها هل هو مختصّ بالإمام علیه السلام أم لا؟</w:t>
      </w:r>
    </w:p>
    <w:p>
      <w:pPr>
        <w:pStyle w:val="BookText"/>
        <w:rPr/>
      </w:pPr>
      <w:r>
        <w:rPr>
          <w:rFonts w:ascii="IRNazanin" w:hAnsi="IRNazanin" w:eastAsia="IRNazanin"/>
          <w:color w:val="111111"/>
          <w:sz w:val="28"/>
          <w:sz w:val="28"/>
          <w:szCs w:val="28"/>
          <w:rtl w:val="true"/>
          <w:lang w:bidi="fa-IR"/>
        </w:rPr>
        <w:t>والبحث عن هذه الجهات یتمّ بعد ذکر الأدلّة الواردة حولها وبیان شروطها وکیفیّة إجرائها، وسنبحث</w:t>
      </w:r>
      <w:r>
        <w:rPr>
          <w:rStyle w:val="FootnoteAnchor"/>
          <w:rtl w:val="true"/>
        </w:rPr>
        <w:footnoteReference w:id="5"/>
      </w:r>
      <w:r>
        <w:rPr>
          <w:rFonts w:ascii="IRNazanin" w:hAnsi="IRNazanin" w:eastAsia="IRNazanin"/>
          <w:color w:val="111111"/>
          <w:sz w:val="28"/>
          <w:sz w:val="28"/>
          <w:szCs w:val="28"/>
          <w:rtl w:val="true"/>
          <w:lang w:bidi="fa-IR"/>
        </w:rPr>
        <w:t>عن تلک الجهات فی طیّ تنبیهات إنْ شاء اللّه تعالی</w:t>
      </w:r>
      <w:r>
        <w:rPr>
          <w:rFonts w:eastAsia="IRNazanin" w:cs="IRNazanin"/>
          <w:color w:val="111111"/>
          <w:sz w:val="28"/>
          <w:szCs w:val="28"/>
          <w:rtl w:val="true"/>
          <w:lang w:bidi="fa-IR"/>
        </w:rPr>
        <w:t>.</w:t>
      </w:r>
    </w:p>
    <w:p>
      <w:pPr>
        <w:pStyle w:val="Heading2"/>
        <w:numPr>
          <w:ilvl w:val="1"/>
          <w:numId w:val="1"/>
        </w:numPr>
        <w:rPr/>
      </w:pPr>
      <w:bookmarkStart w:id="33" w:name="__RefHeading___Toc1920170_581953129"/>
      <w:bookmarkStart w:id="34" w:name="_Toc14"/>
      <w:bookmarkEnd w:id="33"/>
      <w:r>
        <w:rPr>
          <w:rtl w:val="true"/>
        </w:rPr>
        <w:t>بعض موارد جریان القرعة</w:t>
      </w:r>
      <w:bookmarkEnd w:id="34"/>
    </w:p>
    <w:p>
      <w:pPr>
        <w:pStyle w:val="Heading3"/>
        <w:numPr>
          <w:ilvl w:val="2"/>
          <w:numId w:val="1"/>
        </w:numPr>
        <w:rPr/>
      </w:pPr>
      <w:bookmarkStart w:id="35" w:name="__RefHeading___Toc1920172_581953129"/>
      <w:bookmarkStart w:id="36" w:name="_Toc15"/>
      <w:bookmarkEnd w:id="35"/>
      <w:r>
        <w:rPr>
          <w:rtl w:val="true"/>
        </w:rPr>
        <w:t>اشارة</w:t>
      </w:r>
      <w:bookmarkEnd w:id="36"/>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وقبل الخوض فی البحث ینبغی الإشارة إلی بعض موارد جریانها حتّی یقع الباحث مستعدّاً للبحث والنظر</w:t>
      </w:r>
      <w:r>
        <w:rPr>
          <w:rFonts w:eastAsia="IRNazanin" w:cs="IRNazanin"/>
          <w:color w:val="111111"/>
          <w:sz w:val="28"/>
          <w:szCs w:val="28"/>
          <w:rtl w:val="true"/>
          <w:lang w:bidi="fa-IR"/>
        </w:rPr>
        <w:t>:</w:t>
      </w:r>
      <w:bookmarkStart w:id="37" w:name="pg5448_41207"/>
    </w:p>
    <w:p>
      <w:pPr>
        <w:pStyle w:val="Heading3"/>
        <w:numPr>
          <w:ilvl w:val="2"/>
          <w:numId w:val="1"/>
        </w:numPr>
        <w:rPr/>
      </w:pPr>
      <w:bookmarkStart w:id="38" w:name="__RefHeading___Toc1920174_581953129"/>
      <w:bookmarkStart w:id="39" w:name="_Toc16"/>
      <w:bookmarkEnd w:id="37"/>
      <w:bookmarkEnd w:id="38"/>
      <w:r>
        <w:rPr/>
        <w:t>1</w:t>
      </w:r>
      <w:r>
        <w:rPr>
          <w:rtl w:val="true"/>
        </w:rPr>
        <w:t xml:space="preserve"> - </w:t>
      </w:r>
      <w:r>
        <w:rPr>
          <w:rtl w:val="true"/>
        </w:rPr>
        <w:t>الخنثی المشکل من جهة جواز تغسیله بید الرجل أو المرئة</w:t>
      </w:r>
      <w:bookmarkEnd w:id="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الخُنثی المشکل إذا لم یکن عمرها أزید من ثلاث سنین، فقد ذهب الشیخ الطوسی</w:t>
      </w:r>
      <w:r>
        <w:rPr>
          <w:rStyle w:val="FootnoteAnchor"/>
          <w:rtl w:val="true"/>
        </w:rPr>
        <w:footnoteReference w:id="6"/>
      </w:r>
      <w:r>
        <w:rPr>
          <w:rFonts w:ascii="IRNazanin" w:hAnsi="IRNazanin" w:eastAsia="IRNazanin"/>
          <w:color w:val="111111"/>
          <w:sz w:val="28"/>
          <w:sz w:val="28"/>
          <w:szCs w:val="28"/>
          <w:rtl w:val="true"/>
          <w:lang w:bidi="fa-IR"/>
        </w:rPr>
        <w:t>إلی القرعة لیظهر أنّ الخنثی رجل حتّی یغسله الرجال، أو أ نّها امرأة فتغسلها النساء، واستدلّ علیه بالإجماع و الأخبار، والمراد من الإجماع هو الإجماع علی الکبری التی تدلّ علی أنّ القرعة لکلّ أمرٍ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أورد علیه السیّد الخوئی بأنّ القرعة إنّما هی للأُمور التی لم یعلم حکمها بحسب الواقع أو الظاهر، فلا یتأتّی فی قِبال العلم الإجمالی بحرمة النظر أو وجوب التغسیل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مقام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الثابت اعتبارها فی الجملة وبنحو الموجبة الجزئیّة، کما فی الأموال المشتبهة ونحوها ممّا قام علیه الدلیل</w:t>
      </w:r>
      <w:r>
        <w:rPr>
          <w:rStyle w:val="FootnoteAnchor"/>
          <w:rtl w:val="true"/>
        </w:rPr>
        <w:footnoteReference w:id="7"/>
      </w:r>
      <w:r>
        <w:rPr>
          <w:rFonts w:ascii="IRNazanin" w:hAnsi="IRNazanin" w:eastAsia="IRNazanin"/>
          <w:color w:val="111111"/>
          <w:sz w:val="28"/>
          <w:sz w:val="28"/>
          <w:szCs w:val="28"/>
          <w:rtl w:val="true"/>
          <w:lang w:bidi="fa-IR"/>
        </w:rPr>
        <w:t>، انتهی کلامه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والمستفاد من کلامه أنّ القرعة لیست قاعدة کلّیة جاریة علی نحو الضابطة، بل علی حدّ الموجبة الجزئیّة، فتجری فی الموارد التی دلّ الدلیل الخاصّ علی الجریان فیها، ولا ینقضی تعجّبی أ نّه کیف ذهب إلی هذا مع أ نّه بنفسه صرّح فی موضع آخر من موسوعته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لا قصور فی حجّیّة دلیل القرعة لیحتاج إلی الجبر، ولا یلزم من الأخذ بعمومه تخصیص الأکثر، فراجع</w:t>
      </w:r>
      <w:r>
        <w:rPr>
          <w:rFonts w:eastAsia="IRNazanin" w:cs="IRNazanin"/>
          <w:color w:val="111111"/>
          <w:sz w:val="28"/>
          <w:szCs w:val="28"/>
          <w:rtl w:val="true"/>
          <w:lang w:bidi="fa-IR"/>
        </w:rPr>
        <w:t>.</w:t>
      </w:r>
      <w:r>
        <w:rPr>
          <w:rStyle w:val="FootnoteAnchor"/>
          <w:rtl w:val="true"/>
        </w:rPr>
        <w:footnoteReference w:id="8"/>
      </w:r>
      <w:bookmarkStart w:id="40" w:name="pg5448_41208"/>
    </w:p>
    <w:p>
      <w:pPr>
        <w:pStyle w:val="Heading3"/>
        <w:numPr>
          <w:ilvl w:val="2"/>
          <w:numId w:val="1"/>
        </w:numPr>
        <w:rPr/>
      </w:pPr>
      <w:bookmarkStart w:id="41" w:name="__RefHeading___Toc1920176_581953129"/>
      <w:bookmarkStart w:id="42" w:name="_Toc17"/>
      <w:bookmarkEnd w:id="40"/>
      <w:bookmarkEnd w:id="41"/>
      <w:r>
        <w:rPr/>
        <w:t>2</w:t>
      </w:r>
      <w:r>
        <w:rPr>
          <w:rtl w:val="true"/>
        </w:rPr>
        <w:t xml:space="preserve"> - </w:t>
      </w:r>
      <w:r>
        <w:rPr>
          <w:rtl w:val="true"/>
        </w:rPr>
        <w:t>لو اجتمع میّت و جنب و محدث ویکون الماء کافیاً لأحدهم</w:t>
      </w:r>
      <w:bookmarkEnd w:id="4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اجتمع میّت و جنب و محدِث ویکون الماء کافیاً لأحدهم، فإن کان ملکاً لأحدهم اختصّ به، وإن کان ملکاً للجمیع، أو کان مباحاً ولا مالک له، فذهب المشهور</w:t>
      </w:r>
      <w:r>
        <w:rPr>
          <w:rStyle w:val="FootnoteAnchor"/>
          <w:rtl w:val="true"/>
        </w:rPr>
        <w:footnoteReference w:id="9"/>
      </w:r>
      <w:r>
        <w:rPr>
          <w:rFonts w:ascii="IRNazanin" w:hAnsi="IRNazanin" w:eastAsia="IRNazanin"/>
          <w:color w:val="111111"/>
          <w:sz w:val="28"/>
          <w:sz w:val="28"/>
          <w:szCs w:val="28"/>
          <w:rtl w:val="true"/>
          <w:lang w:bidi="fa-IR"/>
        </w:rPr>
        <w:t>إلی أنّ الأفضل تخصیص الماء بالجُنب، وقد اختار صاحب الجواهر</w:t>
      </w:r>
      <w:r>
        <w:rPr>
          <w:rStyle w:val="FootnoteAnchor"/>
          <w:rtl w:val="true"/>
        </w:rPr>
        <w:footnoteReference w:id="10"/>
      </w:r>
      <w:r>
        <w:rPr>
          <w:rFonts w:ascii="IRNazanin" w:hAnsi="IRNazanin" w:eastAsia="IRNazanin"/>
          <w:color w:val="111111"/>
          <w:sz w:val="28"/>
          <w:sz w:val="28"/>
          <w:szCs w:val="28"/>
          <w:rtl w:val="true"/>
          <w:lang w:bidi="fa-IR"/>
        </w:rPr>
        <w:t>الذهاب إلی القرعة لو علم تعیّنه فی الواقع واشتبه فی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علیک أنّ المثال من موارد الشُّبهة الحکمیّة لا الموضوعیّة، وسیأتی</w:t>
      </w:r>
      <w:r>
        <w:rPr>
          <w:rStyle w:val="FootnoteAnchor"/>
          <w:rtl w:val="true"/>
        </w:rPr>
        <w:footnoteReference w:id="11"/>
      </w:r>
      <w:r>
        <w:rPr>
          <w:rFonts w:ascii="IRNazanin" w:hAnsi="IRNazanin" w:eastAsia="IRNazanin"/>
          <w:color w:val="111111"/>
          <w:sz w:val="28"/>
          <w:sz w:val="28"/>
          <w:szCs w:val="28"/>
          <w:rtl w:val="true"/>
          <w:lang w:bidi="fa-IR"/>
        </w:rPr>
        <w:t>البحث فیه إن شاء اللّه</w:t>
      </w:r>
      <w:r>
        <w:rPr>
          <w:rFonts w:eastAsia="IRNazanin" w:cs="IRNazanin"/>
          <w:color w:val="111111"/>
          <w:sz w:val="28"/>
          <w:szCs w:val="28"/>
          <w:rtl w:val="true"/>
          <w:lang w:bidi="fa-IR"/>
        </w:rPr>
        <w:t>.</w:t>
      </w:r>
    </w:p>
    <w:p>
      <w:pPr>
        <w:pStyle w:val="Heading3"/>
        <w:numPr>
          <w:ilvl w:val="2"/>
          <w:numId w:val="1"/>
        </w:numPr>
        <w:rPr/>
      </w:pPr>
      <w:bookmarkStart w:id="43" w:name="__RefHeading___Toc1920178_581953129"/>
      <w:bookmarkStart w:id="44" w:name="_Toc18"/>
      <w:bookmarkEnd w:id="43"/>
      <w:r>
        <w:rPr/>
        <w:t>3</w:t>
      </w:r>
      <w:r>
        <w:rPr>
          <w:rtl w:val="true"/>
        </w:rPr>
        <w:t xml:space="preserve"> - </w:t>
      </w:r>
      <w:r>
        <w:rPr>
          <w:rtl w:val="true"/>
        </w:rPr>
        <w:t>فی مسألة القبلة عند سید ابن طاوس</w:t>
      </w:r>
      <w:bookmarkEnd w:id="44"/>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ذکر المشهور</w:t>
      </w:r>
      <w:r>
        <w:rPr>
          <w:rStyle w:val="FootnoteAnchor"/>
          <w:rtl w:val="true"/>
        </w:rPr>
        <w:footnoteReference w:id="12"/>
      </w:r>
      <w:r>
        <w:rPr>
          <w:rFonts w:ascii="IRNazanin" w:hAnsi="IRNazanin" w:eastAsia="IRNazanin"/>
          <w:color w:val="111111"/>
          <w:sz w:val="28"/>
          <w:sz w:val="28"/>
          <w:szCs w:val="28"/>
          <w:rtl w:val="true"/>
          <w:lang w:bidi="fa-IR"/>
        </w:rPr>
        <w:t>فی مسألة الصلاة إلی القبلة أنّ من لم یعلم أو لم یظنّ جهتها؛ فإن کان الوقت واسعاً صلّی إلی أربع جهات، وخالفهم العمّانی</w:t>
      </w:r>
      <w:r>
        <w:rPr>
          <w:rStyle w:val="FootnoteAnchor"/>
          <w:rtl w:val="true"/>
        </w:rPr>
        <w:footnoteReference w:id="13"/>
      </w:r>
      <w:r>
        <w:rPr>
          <w:rFonts w:ascii="IRNazanin" w:hAnsi="IRNazanin" w:eastAsia="IRNazanin"/>
          <w:color w:val="111111"/>
          <w:sz w:val="28"/>
          <w:sz w:val="28"/>
          <w:szCs w:val="28"/>
          <w:rtl w:val="true"/>
          <w:lang w:bidi="fa-IR"/>
        </w:rPr>
        <w:t>والصدوق</w:t>
      </w:r>
      <w:r>
        <w:rPr>
          <w:rStyle w:val="FootnoteAnchor"/>
          <w:rtl w:val="true"/>
        </w:rPr>
        <w:footnoteReference w:id="14"/>
      </w:r>
      <w:r>
        <w:rPr>
          <w:rFonts w:ascii="IRNazanin" w:hAnsi="IRNazanin" w:eastAsia="IRNazanin"/>
          <w:color w:val="111111"/>
          <w:sz w:val="28"/>
          <w:sz w:val="28"/>
          <w:szCs w:val="28"/>
          <w:rtl w:val="true"/>
          <w:lang w:bidi="fa-IR"/>
        </w:rPr>
        <w:t>والعلّامة فی المختلف</w:t>
      </w:r>
      <w:r>
        <w:rPr>
          <w:rStyle w:val="FootnoteAnchor"/>
          <w:rtl w:val="true"/>
        </w:rPr>
        <w:footnoteReference w:id="15"/>
      </w:r>
      <w:r>
        <w:rPr>
          <w:rFonts w:ascii="IRNazanin" w:hAnsi="IRNazanin" w:eastAsia="IRNazanin"/>
          <w:color w:val="111111"/>
          <w:sz w:val="28"/>
          <w:sz w:val="28"/>
          <w:szCs w:val="28"/>
          <w:rtl w:val="true"/>
          <w:lang w:bidi="fa-IR"/>
        </w:rPr>
        <w:t>، والشهید فی الذکری</w:t>
      </w:r>
      <w:r>
        <w:rPr>
          <w:rStyle w:val="FootnoteAnchor"/>
          <w:rtl w:val="true"/>
        </w:rPr>
        <w:footnoteReference w:id="16"/>
      </w:r>
      <w:r>
        <w:rPr>
          <w:rFonts w:ascii="IRNazanin" w:hAnsi="IRNazanin" w:eastAsia="IRNazanin"/>
          <w:color w:val="111111"/>
          <w:sz w:val="28"/>
          <w:sz w:val="28"/>
          <w:szCs w:val="28"/>
          <w:rtl w:val="true"/>
          <w:lang w:bidi="fa-IR"/>
        </w:rPr>
        <w:t>، واکتفوا بالصلاة إلی جهة واحدة من الجهات علی نحو ما یقوله العامّة</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المسألة قولٌ ثالث ذهب إلیه السیّد ابن طاوُس فی کتابه الأمان من أخطار الأسفار والأزمان</w:t>
      </w:r>
      <w:r>
        <w:rPr>
          <w:rStyle w:val="FootnoteAnchor"/>
          <w:rtl w:val="true"/>
        </w:rPr>
        <w:footnoteReference w:id="18"/>
      </w:r>
      <w:r>
        <w:rPr>
          <w:rFonts w:ascii="IRNazanin" w:hAnsi="IRNazanin" w:eastAsia="IRNazanin"/>
          <w:color w:val="111111"/>
          <w:sz w:val="28"/>
          <w:sz w:val="28"/>
          <w:szCs w:val="28"/>
          <w:rtl w:val="true"/>
          <w:lang w:bidi="fa-IR"/>
        </w:rPr>
        <w:t>وقال بالاجتزاء بالقرعة؛ لکونها لکلّ</w:t>
      </w:r>
    </w:p>
    <w:p>
      <w:pPr>
        <w:pStyle w:val="BookText"/>
        <w:rPr/>
      </w:pPr>
      <w:r>
        <w:rPr>
          <w:rFonts w:ascii="IRNazanin" w:hAnsi="IRNazanin" w:eastAsia="IRNazanin"/>
          <w:color w:val="111111"/>
          <w:sz w:val="28"/>
          <w:sz w:val="28"/>
          <w:szCs w:val="28"/>
          <w:rtl w:val="true"/>
          <w:lang w:bidi="fa-IR"/>
        </w:rPr>
        <w:t>أمر مشکل، وقد ضعّفه صاحب الجواهر</w:t>
      </w:r>
      <w:r>
        <w:rPr>
          <w:rStyle w:val="FootnoteAnchor"/>
          <w:rtl w:val="true"/>
        </w:rPr>
        <w:footnoteReference w:id="19"/>
      </w:r>
      <w:r>
        <w:rPr>
          <w:rFonts w:ascii="IRNazanin" w:hAnsi="IRNazanin" w:eastAsia="IRNazanin"/>
          <w:color w:val="111111"/>
          <w:sz w:val="28"/>
          <w:sz w:val="28"/>
          <w:szCs w:val="28"/>
          <w:rtl w:val="true"/>
          <w:lang w:bidi="fa-IR"/>
        </w:rPr>
        <w:t>بأنّ هذا القول مقتض لطرح الأدلّة والروایات الرافعة للإشکال بهذا الخبر الذی هو من المشکلات، مضافاً إلی مخالفته للإجماع البسیط والمرکّب والمنقول والمحصّل، بل لم یعهد استعمال القرعة فی معرفة الأحکام الشرعیّة التکلیفیّة والوضعیّة حتّی من السیّد المزبور فی غیر المقام، کما اعترف به الأُستاذ الأکبر فی شرح المفاتیح</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والظاهر أنّ السیّد قد أجری القرعة بالنسبة إلی وجوب الصلاة إلی جهة من الجهات، و أیضاً بالنسبة إلی صحّة الصلاة فی تلک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 قبیل الشُّبهة الحکمیّة لا الموضوعیّة، وبناءً علیه یرد علیه ما ذکره صاحب الجواهر من عدم معهودیّة جریان القرعة فی الأحکام التکلیفیّة والوضعیّة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مراده تعیین القبلة من جهة الموضوع الخارجی فقط؛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معها تتعیّن القبلة، فلا یرد علیه ما ذکره، فتدبّر</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والدنا المحقّق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عدم کون مثل المقام مورداً للقرعة، إمّا لاختصاص الرجوع بموارد عمل الأصحاب فیها بعمومات القرعة، وإمّا لاختصاص أدلّتها بموارد تزاحم الحقوق، وعدم العموم فیها لکلّ أمر مشتبه أو مشکل علی ما یترائی من ظواهرها، ومن المعلوم عدم تحقّق شیء من الأمرین فی المقام</w:t>
      </w:r>
      <w:r>
        <w:rPr>
          <w:rFonts w:eastAsia="IRNazanin" w:cs="IRNazanin"/>
          <w:color w:val="111111"/>
          <w:sz w:val="28"/>
          <w:szCs w:val="28"/>
          <w:rtl w:val="true"/>
          <w:lang w:bidi="fa-IR"/>
        </w:rPr>
        <w:t>.</w:t>
      </w:r>
      <w:r>
        <w:rPr>
          <w:rStyle w:val="FootnoteAnchor"/>
          <w:rtl w:val="true"/>
        </w:rPr>
        <w:footnoteReference w:id="21"/>
      </w:r>
      <w:bookmarkStart w:id="45" w:name="pg5448_41210"/>
    </w:p>
    <w:p>
      <w:pPr>
        <w:pStyle w:val="BookText"/>
        <w:rPr/>
      </w:pPr>
      <w:bookmarkEnd w:id="45"/>
      <w:r>
        <w:rPr>
          <w:rFonts w:ascii="IRNazanin" w:hAnsi="IRNazanin" w:eastAsia="IRNazanin"/>
          <w:color w:val="111111"/>
          <w:sz w:val="28"/>
          <w:sz w:val="28"/>
          <w:szCs w:val="28"/>
          <w:rtl w:val="true"/>
          <w:lang w:bidi="fa-IR"/>
        </w:rPr>
        <w:t>وذهب الشهید الثانی</w:t>
      </w:r>
      <w:r>
        <w:rPr>
          <w:rStyle w:val="FootnoteAnchor"/>
          <w:rtl w:val="true"/>
        </w:rPr>
        <w:footnoteReference w:id="22"/>
      </w:r>
      <w:r>
        <w:rPr>
          <w:rFonts w:ascii="IRNazanin" w:hAnsi="IRNazanin" w:eastAsia="IRNazanin"/>
          <w:color w:val="111111"/>
          <w:sz w:val="28"/>
          <w:sz w:val="28"/>
          <w:szCs w:val="28"/>
          <w:rtl w:val="true"/>
          <w:lang w:bidi="fa-IR"/>
        </w:rPr>
        <w:t>إلی القرعة فی خصوص ضیق الوقت، أو فیما لا یمکن فیه التکرار</w:t>
      </w:r>
      <w:r>
        <w:rPr>
          <w:rFonts w:eastAsia="IRNazanin" w:cs="IRNazanin"/>
          <w:color w:val="111111"/>
          <w:sz w:val="28"/>
          <w:szCs w:val="28"/>
          <w:rtl w:val="true"/>
          <w:lang w:bidi="fa-IR"/>
        </w:rPr>
        <w:t>.</w:t>
      </w:r>
    </w:p>
    <w:p>
      <w:pPr>
        <w:pStyle w:val="Heading3"/>
        <w:numPr>
          <w:ilvl w:val="2"/>
          <w:numId w:val="1"/>
        </w:numPr>
        <w:rPr/>
      </w:pPr>
      <w:bookmarkStart w:id="46" w:name="__RefHeading___Toc1920180_581953129"/>
      <w:bookmarkStart w:id="47" w:name="_Toc19"/>
      <w:bookmarkEnd w:id="46"/>
      <w:r>
        <w:rPr/>
        <w:t>4</w:t>
      </w:r>
      <w:r>
        <w:rPr>
          <w:rtl w:val="true"/>
        </w:rPr>
        <w:t xml:space="preserve"> - </w:t>
      </w:r>
      <w:r>
        <w:rPr>
          <w:rtl w:val="true"/>
        </w:rPr>
        <w:t>جریان القرعة فی الأحکام الشرعیّة عند بعض وعدم جریانها عند بعض</w:t>
      </w:r>
      <w:bookmarkEnd w:id="47"/>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اقتصر ابن إدریس فی السرائر فی مسألة الاستخارة علی ذات الصلاة والدُّعاء بعدها ثمّ فعل ما یقع فی القلب، وشدّد الإنکار علی الاستخارة بالرقاع والبنادق والقرعة،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رواتها فطحیّة؛ مثل زرعة ورفاعة وغیرهما ملعونون، فلا یلتفت إلی ما اختصّا بروایته، والمحصّلون من أصحابنا ما یختارون فی کتب الفقه إلّاما اخترناه، ولا یذکرون البنادق، والرقاع، والقرعة، إلّافی کتب العبادات، دون کتب الفقه، فشیخنا أبو جعفر لم یذکر فی نهایته ومبسوطه واقتصاده</w:t>
      </w:r>
      <w:r>
        <w:rPr>
          <w:rStyle w:val="FootnoteAnchor"/>
          <w:rtl w:val="true"/>
        </w:rPr>
        <w:footnoteReference w:id="23"/>
      </w:r>
      <w:r>
        <w:rPr>
          <w:rFonts w:ascii="IRNazanin" w:hAnsi="IRNazanin" w:eastAsia="IRNazanin"/>
          <w:color w:val="111111"/>
          <w:sz w:val="28"/>
          <w:sz w:val="28"/>
          <w:szCs w:val="28"/>
          <w:rtl w:val="true"/>
          <w:lang w:bidi="fa-IR"/>
        </w:rPr>
        <w:t>إلّاما ذکرناه واخترناه، وکذلک شیخنا المفید فی رسالته إلی ولده</w:t>
      </w:r>
      <w:r>
        <w:rPr>
          <w:rStyle w:val="FootnoteAnchor"/>
          <w:rtl w:val="true"/>
        </w:rPr>
        <w:footnoteReference w:id="24"/>
      </w:r>
      <w:r>
        <w:rPr>
          <w:rFonts w:ascii="IRNazanin" w:hAnsi="IRNazanin" w:eastAsia="IRNazanin"/>
          <w:color w:val="111111"/>
          <w:sz w:val="28"/>
          <w:sz w:val="28"/>
          <w:szCs w:val="28"/>
          <w:rtl w:val="true"/>
          <w:lang w:bidi="fa-IR"/>
        </w:rPr>
        <w:t>لم یتعرّض للرقاع ولا للبنادق، بل أورد روایات کثیرة فیها صلوات وأدعیة، ولم یتعرّض لشیء من الرقاع</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واعترض علیه العلّامة فی المختلف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الکلام فی غایة الرداءة، وأیّ فارق بین ذکره فی کتب الفقه و العبادات؟ فإنّ کتب العبادة هی المختصّة به، ومع ذلک فقد ذکره المفید فی المقنعة</w:t>
      </w:r>
      <w:r>
        <w:rPr>
          <w:rStyle w:val="FootnoteAnchor"/>
          <w:rtl w:val="true"/>
        </w:rPr>
        <w:footnoteReference w:id="26"/>
      </w:r>
      <w:r>
        <w:rPr>
          <w:rFonts w:ascii="IRNazanin" w:hAnsi="IRNazanin" w:eastAsia="IRNazanin"/>
          <w:color w:val="111111"/>
          <w:sz w:val="28"/>
          <w:sz w:val="28"/>
          <w:szCs w:val="28"/>
          <w:rtl w:val="true"/>
          <w:lang w:bidi="fa-IR"/>
        </w:rPr>
        <w:t>وهی کتاب فقه، والشیخ فی التهذیب</w:t>
      </w:r>
      <w:r>
        <w:rPr>
          <w:rStyle w:val="FootnoteAnchor"/>
          <w:rtl w:val="true"/>
        </w:rPr>
        <w:footnoteReference w:id="27"/>
      </w:r>
      <w:r>
        <w:rPr>
          <w:rFonts w:ascii="IRNazanin" w:hAnsi="IRNazanin" w:eastAsia="IRNazanin"/>
          <w:color w:val="111111"/>
          <w:sz w:val="28"/>
          <w:sz w:val="28"/>
          <w:szCs w:val="28"/>
          <w:rtl w:val="true"/>
          <w:lang w:bidi="fa-IR"/>
        </w:rPr>
        <w:t>وهو أصل الفقه، و أیّ محصّل أعظم من هذین؟</w:t>
      </w:r>
      <w:bookmarkStart w:id="48" w:name="pg5448_41211"/>
    </w:p>
    <w:p>
      <w:pPr>
        <w:pStyle w:val="BookText"/>
        <w:rPr/>
      </w:pPr>
      <w:bookmarkEnd w:id="48"/>
      <w:r>
        <w:rPr>
          <w:rFonts w:ascii="IRNazanin" w:hAnsi="IRNazanin" w:eastAsia="IRNazanin"/>
          <w:color w:val="111111"/>
          <w:sz w:val="28"/>
          <w:sz w:val="28"/>
          <w:szCs w:val="28"/>
          <w:rtl w:val="true"/>
          <w:lang w:bidi="fa-IR"/>
        </w:rPr>
        <w:t>وهل استُفید الفقه إلّامنهما؟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وهلّا استبعد القرعة وهی مشروعة إجماعاً فی حقّ الأحکام الشرعیّة والقضاء بین الناس</w:t>
      </w:r>
      <w:r>
        <w:rPr>
          <w:rStyle w:val="FootnoteAnchor"/>
          <w:rtl w:val="true"/>
        </w:rPr>
        <w:footnoteReference w:id="28"/>
      </w:r>
      <w:r>
        <w:rPr>
          <w:rFonts w:ascii="IRNazanin" w:hAnsi="IRNazanin" w:eastAsia="IRNazanin"/>
          <w:color w:val="111111"/>
          <w:sz w:val="28"/>
          <w:sz w:val="28"/>
          <w:szCs w:val="28"/>
          <w:rtl w:val="true"/>
          <w:lang w:bidi="fa-IR"/>
        </w:rPr>
        <w:t>،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تری أ نّه کم من فرق بین هذا الکلام، وبین ما صرّح به صاحب الجواهر من عدم معهودیّة جریان القرعة فی الأحکام التکلیفیّة والوضعیّة</w:t>
      </w:r>
      <w:r>
        <w:rPr>
          <w:rStyle w:val="FootnoteAnchor"/>
          <w:rtl w:val="true"/>
        </w:rPr>
        <w:footnoteReference w:id="29"/>
      </w:r>
      <w:r>
        <w:rPr>
          <w:rFonts w:ascii="IRNazanin" w:hAnsi="IRNazanin" w:eastAsia="IRNazanin"/>
          <w:color w:val="111111"/>
          <w:sz w:val="28"/>
          <w:sz w:val="28"/>
          <w:szCs w:val="28"/>
          <w:rtl w:val="true"/>
          <w:lang w:bidi="fa-IR"/>
        </w:rPr>
        <w:t>، فالعلّامة قد صرّح بجریانها فی الأحکام الشرعیّة وأسنده إلی الإجماع أیضاً، وکیف یجمع بین هذین الکلامین من هذین العَلَمَین؟ اللّهُمَّ إلّاأن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مراد العلّامة من الأحکام هی الموضوعات الشرعیّة، وهو کما تری</w:t>
      </w:r>
      <w:r>
        <w:rPr>
          <w:rFonts w:eastAsia="IRNazanin" w:cs="IRNazanin"/>
          <w:color w:val="111111"/>
          <w:sz w:val="28"/>
          <w:szCs w:val="28"/>
          <w:rtl w:val="true"/>
          <w:lang w:bidi="fa-IR"/>
        </w:rPr>
        <w:t>.</w:t>
      </w:r>
    </w:p>
    <w:p>
      <w:pPr>
        <w:pStyle w:val="Heading3"/>
        <w:numPr>
          <w:ilvl w:val="2"/>
          <w:numId w:val="1"/>
        </w:numPr>
        <w:rPr/>
      </w:pPr>
      <w:bookmarkStart w:id="49" w:name="__RefHeading___Toc1920182_581953129"/>
      <w:bookmarkStart w:id="50" w:name="_Toc20"/>
      <w:bookmarkEnd w:id="49"/>
      <w:r>
        <w:rPr/>
        <w:t>5</w:t>
      </w:r>
      <w:r>
        <w:rPr>
          <w:rtl w:val="true"/>
        </w:rPr>
        <w:t xml:space="preserve"> - </w:t>
      </w:r>
      <w:r>
        <w:rPr>
          <w:rtl w:val="true"/>
        </w:rPr>
        <w:t>جریان القرعة عند التشاحّ فی الأذان</w:t>
      </w:r>
      <w:bookmarkEnd w:id="50"/>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تشاحّ الناس فی الأذان قدّم الأعلم، ومع التساوی یقرع بینهم، کما فی القواعد والإرشاد</w:t>
      </w:r>
      <w:r>
        <w:rPr>
          <w:rStyle w:val="FootnoteAnchor"/>
          <w:rtl w:val="true"/>
        </w:rPr>
        <w:footnoteReference w:id="30"/>
      </w:r>
      <w:r>
        <w:rPr>
          <w:rFonts w:ascii="IRNazanin" w:hAnsi="IRNazanin" w:eastAsia="IRNazanin"/>
          <w:color w:val="111111"/>
          <w:sz w:val="28"/>
          <w:sz w:val="28"/>
          <w:szCs w:val="28"/>
          <w:rtl w:val="true"/>
          <w:lang w:bidi="fa-IR"/>
        </w:rPr>
        <w:t>، والظاهر أنّ جریان القرعة فی هذا الفرع لیس لحلّ المشکل، بل إنّما یکون بنحو المرجّح کما لا یخفی</w:t>
      </w:r>
      <w:r>
        <w:rPr>
          <w:rFonts w:eastAsia="IRNazanin" w:cs="IRNazanin"/>
          <w:color w:val="111111"/>
          <w:sz w:val="28"/>
          <w:szCs w:val="28"/>
          <w:rtl w:val="true"/>
          <w:lang w:bidi="fa-IR"/>
        </w:rPr>
        <w:t>.</w:t>
      </w:r>
    </w:p>
    <w:p>
      <w:pPr>
        <w:pStyle w:val="Heading3"/>
        <w:numPr>
          <w:ilvl w:val="2"/>
          <w:numId w:val="1"/>
        </w:numPr>
        <w:rPr/>
      </w:pPr>
      <w:bookmarkStart w:id="51" w:name="__RefHeading___Toc1920184_581953129"/>
      <w:bookmarkStart w:id="52" w:name="_Toc21"/>
      <w:bookmarkEnd w:id="51"/>
      <w:r>
        <w:rPr/>
        <w:t>6</w:t>
      </w:r>
      <w:r>
        <w:rPr>
          <w:rtl w:val="true"/>
        </w:rPr>
        <w:t xml:space="preserve"> - </w:t>
      </w:r>
      <w:r>
        <w:rPr>
          <w:rtl w:val="true"/>
        </w:rPr>
        <w:t>جریان القرعة فی ردّ مال المقامرة إلی صاحبها لو لم یکن معیّناً</w:t>
      </w:r>
      <w:bookmarkEnd w:id="5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 صاحب الجواهر فی المال المأخوذ عن طریق القمار إلی وجوب الرّد إلی صاحبه بالقرعة إذا لم یکن معیّناً وکان محصوراً بین أفراد معدودة،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المقامرة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مالکه إذا عرف بعینه، و إلّافإن کان فی محصورین وجب التخلّص منهم بالصلح، واحتمال القرعة لا یخلو من وجه، وإلّا کان له حکم مجهول المالک</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bookmarkStart w:id="53" w:name="pg5448_41212"/>
    </w:p>
    <w:p>
      <w:pPr>
        <w:pStyle w:val="BookText"/>
        <w:rPr/>
      </w:pPr>
      <w:bookmarkEnd w:id="53"/>
      <w:r>
        <w:rPr>
          <w:rFonts w:ascii="IRNazanin" w:hAnsi="IRNazanin" w:eastAsia="IRNazanin"/>
          <w:color w:val="111111"/>
          <w:sz w:val="28"/>
          <w:sz w:val="28"/>
          <w:szCs w:val="28"/>
          <w:rtl w:val="true"/>
          <w:lang w:bidi="fa-IR"/>
        </w:rPr>
        <w:t xml:space="preserve">والتدبّر فی هذا المثال یعطی جریان القرعة فی الشبهات المحصورة، خلافاً لما صرّح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کالمحقّق الخوئی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جریانها فی موارد العلم الإجمالی، اللّهُمَّ إلّاأن یفرّق بین العلم الإجمالی بالتکلیف فلا یجری، والعلم الإجمالی بوجود حقّ للناس بین الأفراد فیجری، وسیأتی</w:t>
      </w:r>
      <w:r>
        <w:rPr>
          <w:rStyle w:val="FootnoteAnchor"/>
          <w:rtl w:val="true"/>
        </w:rPr>
        <w:footnoteReference w:id="33"/>
      </w:r>
      <w:r>
        <w:rPr>
          <w:rFonts w:ascii="IRNazanin" w:hAnsi="IRNazanin" w:eastAsia="IRNazanin"/>
          <w:color w:val="111111"/>
          <w:sz w:val="28"/>
          <w:sz w:val="28"/>
          <w:szCs w:val="28"/>
          <w:rtl w:val="true"/>
          <w:lang w:bidi="fa-IR"/>
        </w:rPr>
        <w:t>البحث عنه إن شاء اللّه تعالی</w:t>
      </w:r>
      <w:r>
        <w:rPr>
          <w:rFonts w:eastAsia="IRNazanin" w:cs="IRNazanin"/>
          <w:color w:val="111111"/>
          <w:sz w:val="28"/>
          <w:szCs w:val="28"/>
          <w:rtl w:val="true"/>
          <w:lang w:bidi="fa-IR"/>
        </w:rPr>
        <w:t>.</w:t>
      </w:r>
    </w:p>
    <w:p>
      <w:pPr>
        <w:pStyle w:val="Heading3"/>
        <w:numPr>
          <w:ilvl w:val="2"/>
          <w:numId w:val="1"/>
        </w:numPr>
        <w:rPr/>
      </w:pPr>
      <w:bookmarkStart w:id="54" w:name="__RefHeading___Toc1920186_581953129"/>
      <w:bookmarkStart w:id="55" w:name="_Toc22"/>
      <w:bookmarkEnd w:id="54"/>
      <w:r>
        <w:rPr/>
        <w:t>7</w:t>
      </w:r>
      <w:r>
        <w:rPr>
          <w:rtl w:val="true"/>
        </w:rPr>
        <w:t xml:space="preserve"> - </w:t>
      </w:r>
      <w:r>
        <w:rPr>
          <w:rtl w:val="true"/>
        </w:rPr>
        <w:t>جریان القرعة عند مزاحمة حقّ استمتاع الزوج والمستأجر للإرضاع</w:t>
      </w:r>
      <w:bookmarkEnd w:id="55"/>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صرّح المشهور</w:t>
      </w:r>
      <w:r>
        <w:rPr>
          <w:rStyle w:val="FootnoteAnchor"/>
          <w:rtl w:val="true"/>
        </w:rPr>
        <w:footnoteReference w:id="34"/>
      </w:r>
      <w:r>
        <w:rPr>
          <w:rFonts w:ascii="IRNazanin" w:hAnsi="IRNazanin" w:eastAsia="IRNazanin"/>
          <w:color w:val="111111"/>
          <w:sz w:val="28"/>
          <w:sz w:val="28"/>
          <w:szCs w:val="28"/>
          <w:rtl w:val="true"/>
          <w:lang w:bidi="fa-IR"/>
        </w:rPr>
        <w:t>بأ نّه یجوز استئجار المرأة للإرضاع بل للرِّضاع أیضاً، بأن یرتضع الطفل مدّة معیّنة وإن لم یکن منها فعل، ولا یعتبر فی صحّة إجارتها لذلک إذن الزوج ورضاه، وعلی تقدیر صحّة الإجارة لو وقع التنافی فی الخارج فی مقام إعمال الحقّین؛ بأن طالبها الزوج بالاستمتاع فی الزمان المعیّن للإجارة، مع مطالبة المستأجر للإرضاع، فعن جامع المقاصد</w:t>
      </w:r>
      <w:r>
        <w:rPr>
          <w:rStyle w:val="FootnoteAnchor"/>
          <w:rtl w:val="true"/>
        </w:rPr>
        <w:footnoteReference w:id="35"/>
      </w:r>
      <w:r>
        <w:rPr>
          <w:rFonts w:ascii="IRNazanin" w:hAnsi="IRNazanin" w:eastAsia="IRNazanin"/>
          <w:color w:val="111111"/>
          <w:sz w:val="28"/>
          <w:sz w:val="28"/>
          <w:szCs w:val="28"/>
          <w:rtl w:val="true"/>
          <w:lang w:bidi="fa-IR"/>
        </w:rPr>
        <w:t>ومسالک الأفهام</w:t>
      </w:r>
      <w:r>
        <w:rPr>
          <w:rStyle w:val="FootnoteAnchor"/>
          <w:rtl w:val="true"/>
        </w:rPr>
        <w:footnoteReference w:id="36"/>
      </w:r>
      <w:r>
        <w:rPr>
          <w:rFonts w:ascii="IRNazanin" w:hAnsi="IRNazanin" w:eastAsia="IRNazanin"/>
          <w:color w:val="111111"/>
          <w:sz w:val="28"/>
          <w:sz w:val="28"/>
          <w:szCs w:val="28"/>
          <w:rtl w:val="true"/>
          <w:lang w:bidi="fa-IR"/>
        </w:rPr>
        <w:t>وجواهر الکلام</w:t>
      </w:r>
      <w:r>
        <w:rPr>
          <w:rStyle w:val="FootnoteAnchor"/>
          <w:rtl w:val="true"/>
        </w:rPr>
        <w:footnoteReference w:id="37"/>
      </w:r>
      <w:r>
        <w:rPr>
          <w:rFonts w:ascii="IRNazanin" w:hAnsi="IRNazanin" w:eastAsia="IRNazanin"/>
          <w:color w:val="111111"/>
          <w:sz w:val="28"/>
          <w:sz w:val="28"/>
          <w:szCs w:val="28"/>
          <w:rtl w:val="true"/>
          <w:lang w:bidi="fa-IR"/>
        </w:rPr>
        <w:t>القول بوجوب تقدیم حقّ الزوج</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وذهب المحقّق الرشتی</w:t>
      </w:r>
      <w:r>
        <w:rPr>
          <w:rStyle w:val="FootnoteAnchor"/>
          <w:rtl w:val="true"/>
        </w:rPr>
        <w:footnoteReference w:id="38"/>
      </w:r>
      <w:r>
        <w:rPr>
          <w:rFonts w:ascii="IRNazanin" w:hAnsi="IRNazanin" w:eastAsia="IRNazanin"/>
          <w:color w:val="111111"/>
          <w:sz w:val="28"/>
          <w:sz w:val="28"/>
          <w:szCs w:val="28"/>
          <w:rtl w:val="true"/>
          <w:lang w:bidi="fa-IR"/>
        </w:rPr>
        <w:t>والمحقّق الأصفهانی</w:t>
      </w:r>
      <w:r>
        <w:rPr>
          <w:rStyle w:val="FootnoteAnchor"/>
          <w:rtl w:val="true"/>
        </w:rPr>
        <w:footnoteReference w:id="39"/>
      </w:r>
      <w:r>
        <w:rPr>
          <w:rFonts w:ascii="IRNazanin" w:hAnsi="IRNazanin" w:eastAsia="IRNazanin"/>
          <w:color w:val="111111"/>
          <w:sz w:val="28"/>
          <w:sz w:val="28"/>
          <w:szCs w:val="28"/>
          <w:rtl w:val="true"/>
          <w:lang w:bidi="fa-IR"/>
        </w:rPr>
        <w:t>إلی دخول المسألة</w:t>
      </w:r>
    </w:p>
    <w:p>
      <w:pPr>
        <w:pStyle w:val="BookText"/>
        <w:rPr/>
      </w:pPr>
      <w:r>
        <w:rPr>
          <w:rFonts w:ascii="IRNazanin" w:hAnsi="IRNazanin" w:eastAsia="IRNazanin"/>
          <w:color w:val="111111"/>
          <w:sz w:val="28"/>
          <w:sz w:val="28"/>
          <w:szCs w:val="28"/>
          <w:rtl w:val="true"/>
          <w:lang w:bidi="fa-IR"/>
        </w:rPr>
        <w:t>فی تزاحم الحقّین، وأنّ مجرّد سبق حقّ الزوج زماناً لا یوجب التقدیم، ولابدّ من الأهمیّة، ومع عدمها لا محیص عن التخییر، واحتمل الرجوع إلی القرعة وترجیح ما استخرج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علیه الوالد المحقّق قدس سره بعدم جریان أدلّة القرعة هنا؛ لأنّه علی مسلک الأصحاب</w:t>
      </w:r>
      <w:r>
        <w:rPr>
          <w:rStyle w:val="FootnoteAnchor"/>
          <w:rtl w:val="true"/>
        </w:rPr>
        <w:footnoteReference w:id="40"/>
      </w:r>
      <w:r>
        <w:rPr>
          <w:rFonts w:ascii="IRNazanin" w:hAnsi="IRNazanin" w:eastAsia="IRNazanin"/>
          <w:color w:val="111111"/>
          <w:sz w:val="28"/>
          <w:sz w:val="28"/>
          <w:szCs w:val="28"/>
          <w:rtl w:val="true"/>
          <w:lang w:bidi="fa-IR"/>
        </w:rPr>
        <w:t>من کون الرجوع إلیها إنّما هو فی خصوص ما إذا عمل الأصحاب بعموماتها، نظراً إلی عدم إمکان العمل بظاهرها فواضح؛ لعدم عملهم بها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علی ما هو التحقیق عندنا تبعاً لسیّدنا العلّامة الأُستاذ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فی مصبّ أخبار القرعة من کون موردها خصوص باب تزاحم الحقوق، الذی یکون الرجوع فیه إلی القرعة ثابتاً عند العقلاء أیضاً کما قرّر فی محلّه، فالظاهر عدم جریانها بناءً علیه أیضاً؛ لأنّ موردها الأمر المشکل فی الحقوق المتزاحمة، وفی المقام لا إشکال بعد جریان قاعدة العدل والإنصاف المقتضیة للتقسیط، نعم لا مانع من الرجوع إلی القرعة بعد التقسیط لتعیین مَن تجب رعایة حقّه أوّلاً من الزوج أو المستأجر، فتدبّر</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انتهی کلامه رفع مقامه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ذکر هذه الموارد و الأمثلة یجب بیان المعنی اللّغوی لها</w:t>
      </w:r>
      <w:r>
        <w:rPr>
          <w:rFonts w:eastAsia="IRNazanin" w:cs="IRNazanin"/>
          <w:color w:val="111111"/>
          <w:sz w:val="28"/>
          <w:szCs w:val="28"/>
          <w:rtl w:val="true"/>
          <w:lang w:bidi="fa-IR"/>
        </w:rPr>
        <w:t>:</w:t>
      </w:r>
      <w:bookmarkStart w:id="56" w:name="pg5448_41214"/>
    </w:p>
    <w:p>
      <w:pPr>
        <w:pStyle w:val="Heading2"/>
        <w:numPr>
          <w:ilvl w:val="1"/>
          <w:numId w:val="1"/>
        </w:numPr>
        <w:rPr/>
      </w:pPr>
      <w:bookmarkStart w:id="57" w:name="__RefHeading___Toc1920188_581953129"/>
      <w:bookmarkStart w:id="58" w:name="_Toc23"/>
      <w:bookmarkEnd w:id="56"/>
      <w:bookmarkEnd w:id="57"/>
      <w:r>
        <w:rPr>
          <w:rtl w:val="true"/>
        </w:rPr>
        <w:t>القرعة فی اللّغة</w:t>
      </w:r>
      <w:bookmarkEnd w:id="58"/>
    </w:p>
    <w:p>
      <w:pPr>
        <w:pStyle w:val="BookText"/>
        <w:rPr/>
      </w:pPr>
      <w:r>
        <w:rPr>
          <w:rFonts w:ascii="IRNazanin" w:hAnsi="IRNazanin" w:eastAsia="IRNazanin"/>
          <w:color w:val="111111"/>
          <w:sz w:val="28"/>
          <w:sz w:val="28"/>
          <w:szCs w:val="28"/>
          <w:rtl w:val="true"/>
          <w:lang w:bidi="fa-IR"/>
        </w:rPr>
        <w:t>قد ذکر الطریحی أنّ القرعة مأخوذة من قارعة القلوب؛ بمعنی ما یخوفها؛ لأنّ قلب کلّ من المتقارعین فی الشدّة والمخافة حتّی یخرج سهمه، أو مأخوذة من القرع بمعنی الضرب؛ حیث إنّه یضرب بالعلامة علی الحصّة</w:t>
      </w:r>
      <w:r>
        <w:rPr>
          <w:rStyle w:val="FootnoteAnchor"/>
          <w:rtl w:val="true"/>
        </w:rPr>
        <w:footnoteReference w:id="43"/>
      </w:r>
      <w:r>
        <w:rPr>
          <w:rFonts w:ascii="IRNazanin" w:hAnsi="IRNazanin" w:eastAsia="IRNazanin"/>
          <w:color w:val="111111"/>
          <w:sz w:val="28"/>
          <w:sz w:val="28"/>
          <w:szCs w:val="28"/>
          <w:rtl w:val="true"/>
          <w:lang w:bidi="fa-IR"/>
        </w:rPr>
        <w:t>،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عدم تمامیّة ما ذکره؛ فإنّه بعد الرجوع إلی کتب اللّغة یظهر أنّ مادّة القاف والراء المفتوحة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المکسورة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والعین إذا أُضیفت إلی الباب فیکون بمعنی الضرب، ومن هذا الباب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قرع باباً وَلَجَّ وَلَج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أُضیفت إلی الشیء فیکون بمعنی المختار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ابن منظور فی لسان العرب وبعض آخر</w:t>
      </w:r>
      <w:r>
        <w:rPr>
          <w:rStyle w:val="FootnoteAnchor"/>
          <w:rtl w:val="true"/>
        </w:rPr>
        <w:footnoteReference w:id="44"/>
      </w:r>
      <w:r>
        <w:rPr>
          <w:rFonts w:ascii="IRNazanin" w:hAnsi="IRNazanin" w:eastAsia="IRNazanin"/>
          <w:color w:val="111111"/>
          <w:sz w:val="28"/>
          <w:sz w:val="28"/>
          <w:szCs w:val="28"/>
          <w:rtl w:val="true"/>
          <w:lang w:bidi="fa-IR"/>
        </w:rPr>
        <w:t xml:space="preserve">أنّ القُرعة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خیار المال، کما قد یقال إنّها بمعنی الحظّ والنصیب، وإلقاء القرعة بمعنی تعیّن النصیب والسهم، ومن هذا الباب التعبیر بالسُهمة بضمّ السین فإنّها بمعنی القرعة والنصیب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البحث عن المعنی الاصطلاحی یأتی</w:t>
      </w:r>
      <w:r>
        <w:rPr>
          <w:rStyle w:val="FootnoteAnchor"/>
          <w:rtl w:val="true"/>
        </w:rPr>
        <w:footnoteReference w:id="45"/>
      </w:r>
      <w:r>
        <w:rPr>
          <w:rFonts w:ascii="Amiri" w:hAnsi="Amiri" w:eastAsia="Amiri" w:cs="Amiri"/>
          <w:color w:val="111111"/>
          <w:sz w:val="28"/>
          <w:sz w:val="28"/>
          <w:szCs w:val="28"/>
          <w:rtl w:val="true"/>
          <w:lang w:bidi="ar-SA"/>
        </w:rPr>
        <w:t>بعد الفحص عن الأدلّة، فانتظر</w:t>
      </w:r>
      <w:r>
        <w:rPr>
          <w:rFonts w:eastAsia="Amiri" w:cs="Amiri" w:ascii="Amiri" w:hAnsi="Amiri"/>
          <w:color w:val="111111"/>
          <w:sz w:val="28"/>
          <w:szCs w:val="28"/>
          <w:rtl w:val="true"/>
          <w:lang w:bidi="ar-SA"/>
        </w:rPr>
        <w:t>.</w:t>
      </w:r>
    </w:p>
    <w:p>
      <w:pPr>
        <w:pStyle w:val="Heading2"/>
        <w:numPr>
          <w:ilvl w:val="1"/>
          <w:numId w:val="1"/>
        </w:numPr>
        <w:rPr/>
      </w:pPr>
      <w:bookmarkStart w:id="59" w:name="__RefHeading___Toc1920190_581953129"/>
      <w:bookmarkStart w:id="60" w:name="_Toc24"/>
      <w:bookmarkEnd w:id="59"/>
      <w:r>
        <w:rPr>
          <w:rtl w:val="true"/>
        </w:rPr>
        <w:t>أدلّة القرعة</w:t>
      </w:r>
      <w:bookmarkEnd w:id="60"/>
    </w:p>
    <w:p>
      <w:pPr>
        <w:pStyle w:val="Heading3"/>
        <w:numPr>
          <w:ilvl w:val="2"/>
          <w:numId w:val="1"/>
        </w:numPr>
        <w:rPr/>
      </w:pPr>
      <w:bookmarkStart w:id="61" w:name="__RefHeading___Toc1920192_581953129"/>
      <w:bookmarkStart w:id="62" w:name="_Toc25"/>
      <w:bookmarkEnd w:id="61"/>
      <w:r>
        <w:rPr>
          <w:rtl w:val="true"/>
        </w:rPr>
        <w:t>اشارة</w:t>
      </w:r>
      <w:bookmarkEnd w:id="6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یستدلّ علیها بالکتاب والسُنّة والإجماع والعقل والسیرة الشرعیّة، کما أنّه یستدلّ علیها بالسیرة العقلائیّة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بینونتها مع العقل، کما هو</w:t>
      </w:r>
      <w:bookmarkStart w:id="63" w:name="pg5448_41215"/>
    </w:p>
    <w:p>
      <w:pPr>
        <w:pStyle w:val="BookText"/>
        <w:rPr/>
      </w:pPr>
      <w:bookmarkEnd w:id="63"/>
      <w:r>
        <w:rPr>
          <w:rFonts w:ascii="IRNazanin" w:hAnsi="IRNazanin" w:eastAsia="IRNazanin"/>
          <w:color w:val="111111"/>
          <w:sz w:val="28"/>
          <w:sz w:val="28"/>
          <w:szCs w:val="28"/>
          <w:rtl w:val="true"/>
          <w:lang w:bidi="fa-IR"/>
        </w:rPr>
        <w:t>المشهور</w:t>
      </w:r>
      <w:r>
        <w:rPr>
          <w:rStyle w:val="FootnoteAnchor"/>
          <w:rtl w:val="true"/>
        </w:rPr>
        <w:footnoteReference w:id="46"/>
      </w:r>
      <w:r>
        <w:rPr>
          <w:rFonts w:ascii="IRNazanin" w:hAnsi="IRNazanin" w:eastAsia="IRNazanin"/>
          <w:color w:val="111111"/>
          <w:sz w:val="28"/>
          <w:sz w:val="28"/>
          <w:szCs w:val="28"/>
          <w:rtl w:val="true"/>
          <w:lang w:bidi="fa-IR"/>
        </w:rPr>
        <w:t>، وأمّا بناءً علی عدمها، کما هو مذهب المحقّق الإصفهانی فی حاشیته علی الکفایة</w:t>
      </w:r>
      <w:r>
        <w:rPr>
          <w:rStyle w:val="FootnoteAnchor"/>
          <w:rtl w:val="true"/>
        </w:rPr>
        <w:footnoteReference w:id="47"/>
      </w:r>
      <w:r>
        <w:rPr>
          <w:rFonts w:ascii="IRNazanin" w:hAnsi="IRNazanin" w:eastAsia="IRNazanin"/>
          <w:color w:val="111111"/>
          <w:sz w:val="28"/>
          <w:sz w:val="28"/>
          <w:szCs w:val="28"/>
          <w:rtl w:val="true"/>
          <w:lang w:bidi="fa-IR"/>
        </w:rPr>
        <w:t>، فانهما دلیل واحد</w:t>
      </w:r>
      <w:r>
        <w:rPr>
          <w:rFonts w:eastAsia="IRNazanin" w:cs="IRNazanin"/>
          <w:color w:val="111111"/>
          <w:sz w:val="28"/>
          <w:szCs w:val="28"/>
          <w:rtl w:val="true"/>
          <w:lang w:bidi="fa-IR"/>
        </w:rPr>
        <w:t>.</w:t>
      </w:r>
    </w:p>
    <w:p>
      <w:pPr>
        <w:pStyle w:val="Heading3"/>
        <w:numPr>
          <w:ilvl w:val="2"/>
          <w:numId w:val="1"/>
        </w:numPr>
        <w:rPr/>
      </w:pPr>
      <w:bookmarkStart w:id="64" w:name="__RefHeading___Toc1920194_581953129"/>
      <w:bookmarkStart w:id="65" w:name="_Toc26"/>
      <w:bookmarkEnd w:id="64"/>
      <w:r>
        <w:rPr>
          <w:rtl w:val="true"/>
        </w:rPr>
        <w:t>الدلیل الأوّل</w:t>
      </w:r>
      <w:r>
        <w:rPr>
          <w:rtl w:val="true"/>
        </w:rPr>
        <w:t xml:space="preserve">: </w:t>
      </w:r>
      <w:r>
        <w:rPr>
          <w:rtl w:val="true"/>
        </w:rPr>
        <w:t>الکتاب</w:t>
      </w:r>
      <w:bookmarkEnd w:id="65"/>
    </w:p>
    <w:p>
      <w:pPr>
        <w:pStyle w:val="Heading4"/>
        <w:numPr>
          <w:ilvl w:val="3"/>
          <w:numId w:val="1"/>
        </w:numPr>
        <w:rPr/>
      </w:pPr>
      <w:bookmarkStart w:id="66" w:name="__RefHeading___Toc1920196_581953129"/>
      <w:bookmarkStart w:id="67" w:name="_Toc27"/>
      <w:bookmarkEnd w:id="66"/>
      <w:r>
        <w:rPr>
          <w:rtl w:val="true"/>
        </w:rPr>
        <w:t>اشارة</w:t>
      </w:r>
      <w:bookmarkEnd w:id="67"/>
    </w:p>
    <w:p>
      <w:pPr>
        <w:pStyle w:val="BookText"/>
        <w:rPr/>
      </w:pPr>
      <w:r>
        <w:rPr>
          <w:rFonts w:ascii="Amiri" w:hAnsi="Amiri" w:eastAsia="Amiri" w:cs="Amiri"/>
          <w:color w:val="111111"/>
          <w:sz w:val="28"/>
          <w:sz w:val="28"/>
          <w:szCs w:val="28"/>
          <w:rtl w:val="true"/>
          <w:lang w:bidi="ar-SA"/>
        </w:rPr>
        <w:t>أمّا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یستدلّ بآیتین شریفتین</w:t>
      </w:r>
      <w:r>
        <w:rPr>
          <w:rFonts w:eastAsia="IRNazanin" w:cs="IRNazanin"/>
          <w:color w:val="111111"/>
          <w:sz w:val="28"/>
          <w:szCs w:val="28"/>
          <w:rtl w:val="true"/>
          <w:lang w:bidi="fa-IR"/>
        </w:rPr>
        <w:t>:</w:t>
      </w:r>
    </w:p>
    <w:p>
      <w:pPr>
        <w:pStyle w:val="Heading4"/>
        <w:numPr>
          <w:ilvl w:val="3"/>
          <w:numId w:val="1"/>
        </w:numPr>
        <w:rPr/>
      </w:pPr>
      <w:bookmarkStart w:id="68" w:name="__RefHeading___Toc1920198_581953129"/>
      <w:bookmarkStart w:id="69" w:name="_Toc28"/>
      <w:bookmarkEnd w:id="68"/>
      <w:r>
        <w:rPr>
          <w:rtl w:val="true"/>
        </w:rPr>
        <w:t>الآیة الاُولی</w:t>
      </w:r>
      <w:r>
        <w:rPr>
          <w:rtl w:val="true"/>
        </w:rPr>
        <w:t xml:space="preserve">: </w:t>
      </w:r>
      <w:r>
        <w:rPr>
          <w:rtl w:val="true"/>
        </w:rPr>
        <w:t xml:space="preserve">قوله تعالی </w:t>
      </w:r>
      <w:r>
        <w:rPr>
          <w:rtl w:val="true"/>
        </w:rPr>
        <w:t>«</w:t>
      </w:r>
      <w:r>
        <w:rPr>
          <w:rtl w:val="true"/>
        </w:rPr>
        <w:t>وإنّ یونس لمن المرسلین</w:t>
      </w:r>
      <w:r>
        <w:rPr>
          <w:rtl w:val="true"/>
        </w:rPr>
        <w:t xml:space="preserve">... </w:t>
      </w:r>
      <w:r>
        <w:rPr>
          <w:rtl w:val="true"/>
        </w:rPr>
        <w:t>یوم یبعثون</w:t>
      </w:r>
      <w:r>
        <w:rPr>
          <w:rtl w:val="true"/>
        </w:rPr>
        <w:t>»</w:t>
      </w:r>
      <w:bookmarkEnd w:id="69"/>
    </w:p>
    <w:p>
      <w:pPr>
        <w:pStyle w:val="Heading5"/>
        <w:numPr>
          <w:ilvl w:val="4"/>
          <w:numId w:val="1"/>
        </w:numPr>
        <w:rPr/>
      </w:pPr>
      <w:bookmarkStart w:id="70" w:name="__RefHeading___Toc1920200_581953129"/>
      <w:bookmarkStart w:id="71" w:name="_Toc29"/>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الآیة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یُونُسَ لَمِنَ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أَبَقَ إِلَی الْفُلْکِ الْمَشْحُونِ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فَساهَمَ فَکانَ مِنَ الْمُدْحَضِینَ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فَالْتَقَمَهُ الْحُوتُ وَ هُوَ مُلِیمٌ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أَنَّهُ کانَ مِنَ الْمُسَبِّحِینَ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لَلَبِثَ فِی بَطْنِهِ إِلی یَوْمِ یُبْعَثُونَ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وقبل بیان الاستشهاد بهذه الآیة الشریفة ینبغی ذکر الأمرین اللّذین نستفیدهما من الآیة</w:t>
      </w:r>
      <w:r>
        <w:rPr>
          <w:rFonts w:eastAsia="IRNazanin" w:cs="IRNazanin"/>
          <w:color w:val="111111"/>
          <w:sz w:val="28"/>
          <w:szCs w:val="28"/>
          <w:rtl w:val="true"/>
          <w:lang w:bidi="fa-IR"/>
        </w:rPr>
        <w:t>:</w:t>
      </w:r>
    </w:p>
    <w:p>
      <w:pPr>
        <w:pStyle w:val="Heading5"/>
        <w:numPr>
          <w:ilvl w:val="4"/>
          <w:numId w:val="1"/>
        </w:numPr>
        <w:rPr/>
      </w:pPr>
      <w:bookmarkStart w:id="72" w:name="__RefHeading___Toc1920202_581953129"/>
      <w:bookmarkStart w:id="73" w:name="_Toc30"/>
      <w:bookmarkEnd w:id="72"/>
      <w:r>
        <w:rPr>
          <w:rtl w:val="true"/>
        </w:rPr>
        <w:t>المراد من الإباق بالنسبة إلی یونس علیه السلام</w:t>
      </w:r>
      <w:bookmarkEnd w:id="7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التعبیر بالإباق بالنسبة إلی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نبیّنا وآله وعلیه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المراد منه لیس التباعد من الناس، بل المراد أ نّه حینما أخبر من اللّه تبارک وتعالی بالعذاب کان مأموراً بأن لا یخرج عن المحلّ قبل الوقت المعیّن الذی کان عیّنه تعالی، ومع ذلک خالف هذا الأمر وخرج قبل ذاک الوقت، وبهذا العمل صار عبداً آبقاً متباعداً عن العبودیّة وعن اللّه تبارک وتعالی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فیا أیّها الأخ العزیز کیف بنا؟ وماذا نفعل؟ وما هو التکلیف الثقیل</w:t>
      </w:r>
      <w:bookmarkStart w:id="74" w:name="pg5448_41216"/>
    </w:p>
    <w:p>
      <w:pPr>
        <w:pStyle w:val="BookText"/>
        <w:rPr/>
      </w:pPr>
      <w:bookmarkEnd w:id="74"/>
      <w:r>
        <w:rPr>
          <w:rFonts w:ascii="IRNazanin" w:hAnsi="IRNazanin" w:eastAsia="IRNazanin"/>
          <w:color w:val="111111"/>
          <w:sz w:val="28"/>
          <w:sz w:val="28"/>
          <w:szCs w:val="28"/>
          <w:rtl w:val="true"/>
          <w:lang w:bidi="fa-IR"/>
        </w:rPr>
        <w:t>علی عاتقنا؟</w:t>
      </w:r>
    </w:p>
    <w:p>
      <w:pPr>
        <w:pStyle w:val="BookText"/>
        <w:rPr/>
      </w:pPr>
      <w:r>
        <w:rPr>
          <w:rFonts w:ascii="IRNazanin" w:hAnsi="IRNazanin" w:eastAsia="IRNazanin"/>
          <w:color w:val="111111"/>
          <w:sz w:val="28"/>
          <w:sz w:val="28"/>
          <w:szCs w:val="28"/>
          <w:rtl w:val="true"/>
          <w:lang w:bidi="fa-IR"/>
        </w:rPr>
        <w:t>إذا کان یونس علیه السلام مع الآبقین مع أ نّه من المرسلین، فهل لا نکون منها ولم نک من المرسلین؟</w:t>
      </w:r>
    </w:p>
    <w:p>
      <w:pPr>
        <w:pStyle w:val="BookText"/>
        <w:rPr/>
      </w:pPr>
      <w:r>
        <w:rPr>
          <w:rFonts w:ascii="Amiri" w:hAnsi="Amiri" w:eastAsia="Amiri" w:cs="Amiri"/>
          <w:color w:val="111111"/>
          <w:sz w:val="28"/>
          <w:sz w:val="28"/>
          <w:szCs w:val="28"/>
          <w:rtl w:val="true"/>
          <w:lang w:bidi="ar-SA"/>
        </w:rPr>
        <w:t>فکلّنا واقعاً وبحسب الحقیقة من الآبقین، ویجب أن نعترف بالبون البعید بین هذا الإباق وإباق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فیلزم علینا البکاء الشدید والحزن الطویل والهَمّ الدائم من أجل التباعد من اللّه تبارک وتعالی، فویلٌ لنا ثمّ ویلٌ لنا ثمّ ویلٌ لنا، فلا مفرّ ولا طریق إلّاأن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مَغْفِرَتَکَ أَرْجَی مِنْ عَمَلِی، وَ إِنَّ رَحْمَتَکَ أَوْسَعُ مِنْ ذَنْبِی، اللَّهُمَّ إِنْ کَانَ ذَنْبِی عِنْدَکَ عَظِیماً فَعَفْوُکَ أَعْظَمُ مِنْ ذَنْبِی، اللَّهُمَّ إِنْ لَمْ أَکُنْ أَهْلاً أَنْ أَبْلُغَ رَحْمَتَکَ فَرَحْمَتُکَ أَهْلٌ أَنْ تَبْلُغَنِی وَ تَسَعَنِی، فَلا مَلْجَأ إلّارحمته، ولا مَنجی إلّا لطفه وکرَمه</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1920204_581953129"/>
      <w:bookmarkStart w:id="76" w:name="_Toc31"/>
      <w:bookmarkEnd w:id="75"/>
      <w:r>
        <w:rPr>
          <w:rtl w:val="true"/>
        </w:rPr>
        <w:t>المنجی الحقیقی لیونس علیه السلام</w:t>
      </w:r>
      <w:bookmarkEnd w:id="7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التعبیر والتصریح بأ نّه لولا کان من المسبّحین للبث فی بطنه إلی یوم یبعثون، فیظهر أنّ المنجی، الحقیقی له لیس ذِکْرُه فی بطن الحوت، بل هو عمله الصالح، وهو تسبیحه فی قدیم الأیّام فی حال الرخوة والرخاء، ویثبت أ نّه لو کان بین الإنسان وبینه تعالی تسبیحاً وتحمیداً فی حال عدم الضیق والشدّة فیکون مفیداً له فی حال الشدّة والصعاب، وقد ورد فی بعض الأحادیث أنّ العمل الصالح یرفع صاحبه إذا عثر</w:t>
      </w:r>
      <w:r>
        <w:rPr>
          <w:rStyle w:val="FootnoteAnchor"/>
          <w:rtl w:val="true"/>
        </w:rPr>
        <w:footnoteReference w:id="48"/>
      </w:r>
      <w:r>
        <w:rPr>
          <w:rFonts w:ascii="IRNazanin" w:hAnsi="IRNazanin" w:eastAsia="IRNazanin"/>
          <w:color w:val="111111"/>
          <w:sz w:val="28"/>
          <w:sz w:val="28"/>
          <w:szCs w:val="28"/>
          <w:rtl w:val="true"/>
          <w:lang w:bidi="fa-IR"/>
        </w:rPr>
        <w:t>، فنسأل اللّه تبارک وتعالی أن یوفّقنا لتسبیحه وتحمیده فی</w:t>
      </w:r>
      <w:bookmarkStart w:id="77" w:name="pg5448_41217"/>
    </w:p>
    <w:p>
      <w:pPr>
        <w:pStyle w:val="BookText"/>
        <w:rPr/>
      </w:pPr>
      <w:bookmarkEnd w:id="77"/>
      <w:r>
        <w:rPr>
          <w:rFonts w:ascii="IRNazanin" w:hAnsi="IRNazanin" w:eastAsia="IRNazanin"/>
          <w:color w:val="111111"/>
          <w:sz w:val="28"/>
          <w:sz w:val="28"/>
          <w:szCs w:val="28"/>
          <w:rtl w:val="true"/>
          <w:lang w:bidi="fa-IR"/>
        </w:rPr>
        <w:t>جمیع الحالات، وأن لا تغلبنا الغفلة والکسل إنْ شاء اللّه تعالی</w:t>
      </w:r>
      <w:r>
        <w:rPr>
          <w:rFonts w:eastAsia="IRNazanin" w:cs="IRNazanin"/>
          <w:color w:val="111111"/>
          <w:sz w:val="28"/>
          <w:szCs w:val="28"/>
          <w:rtl w:val="true"/>
          <w:lang w:bidi="fa-IR"/>
        </w:rPr>
        <w:t>.</w:t>
      </w:r>
    </w:p>
    <w:p>
      <w:pPr>
        <w:pStyle w:val="Heading5"/>
        <w:numPr>
          <w:ilvl w:val="4"/>
          <w:numId w:val="1"/>
        </w:numPr>
        <w:rPr/>
      </w:pPr>
      <w:bookmarkStart w:id="78" w:name="__RefHeading___Toc1920206_581953129"/>
      <w:bookmarkStart w:id="79" w:name="_Toc32"/>
      <w:bookmarkEnd w:id="78"/>
      <w:r>
        <w:rPr>
          <w:rtl w:val="true"/>
        </w:rPr>
        <w:t>توضیح الآیة لغة وشأناً وتأریخاً</w:t>
      </w:r>
      <w:bookmarkEnd w:id="79"/>
    </w:p>
    <w:p>
      <w:pPr>
        <w:pStyle w:val="BookText"/>
        <w:rPr/>
      </w:pPr>
      <w:r>
        <w:rPr>
          <w:rFonts w:ascii="IRNazanin" w:hAnsi="IRNazanin" w:eastAsia="IRNazanin"/>
          <w:color w:val="111111"/>
          <w:sz w:val="28"/>
          <w:sz w:val="28"/>
          <w:szCs w:val="28"/>
          <w:rtl w:val="true"/>
          <w:lang w:bidi="fa-IR"/>
        </w:rPr>
        <w:t>توضیح مفردات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المساهمة بمعنی المقارعة، وقد ذکر الراغب أنّ استهموا بمعنی أقرعوا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یرمی به وما یضرب به من القداح ونحوه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السهم الحظّ</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 الدحض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الزلق، والإدحاض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الإبطال</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المراد أنّ یونس علیه السلام کان من المغلوبین والمقهورین، أو کان من الساقطین فی البحر، ولا یذهب علیک أ نّه لیس بمعنی المقروعین، کما قد یتوهّم</w:t>
      </w:r>
      <w:r>
        <w:rPr>
          <w:rStyle w:val="FootnoteAnchor"/>
          <w:rtl w:val="true"/>
        </w:rPr>
        <w:footnoteReference w:id="52"/>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وتوضیح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یونس لمّا دعا علی قومه، وسأل من الربّ العظیم العذاب الألیم لهم، وقد ورد فی بعض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کان فی قومه رجلان علم وعابد، وکان اسم أحدهما ملنجا، والآخر اسمه روبیل، فکان العابد یشیر علی یونس بالدعاء علیهم، والعالم ینهاه ویقول لا تدع علیهم، فإنّ اللّه یستجیب لک، ولا یحب هلاک عبادة، فقبل قول العابد ولم یقبل من العالم، الحدیث</w:t>
      </w:r>
      <w:r>
        <w:rPr>
          <w:rStyle w:val="FootnoteAnchor"/>
          <w:rtl w:val="true"/>
        </w:rPr>
        <w:footnoteReference w:id="53"/>
      </w:r>
      <w:r>
        <w:rPr>
          <w:rFonts w:ascii="IRNazanin" w:hAnsi="IRNazanin" w:eastAsia="IRNazanin"/>
          <w:color w:val="111111"/>
          <w:sz w:val="28"/>
          <w:sz w:val="28"/>
          <w:szCs w:val="28"/>
          <w:rtl w:val="true"/>
          <w:lang w:bidi="fa-IR"/>
        </w:rPr>
        <w:t>، فاستجاب له وأوعده بالعذاب لهم، والظاهر أ نّه کان مأموراً بعدم الخروج قبل الوقت الذی عیّنه</w:t>
      </w:r>
    </w:p>
    <w:p>
      <w:pPr>
        <w:pStyle w:val="BookText"/>
        <w:rPr/>
      </w:pPr>
      <w:r>
        <w:rPr>
          <w:rFonts w:ascii="IRNazanin" w:hAnsi="IRNazanin" w:eastAsia="IRNazanin"/>
          <w:color w:val="111111"/>
          <w:sz w:val="28"/>
          <w:sz w:val="28"/>
          <w:szCs w:val="28"/>
          <w:rtl w:val="true"/>
          <w:lang w:bidi="fa-IR"/>
        </w:rPr>
        <w:t>الشارع، ومع ذلک خرج قبله، إمّا من جهة عدم الوقوع، أو عدم الحضور حین نزول العذاب، وقصد الذهاب إلی مکان وبلد آخر عن طریق السفینة، فرکبها ووقع ما وقع، والتواریخ مختلفة فی الواقعة علی أقوال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السفینة احتبست بنفسها، فقال الملّاحون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هاهنا عبداً آبقاً، ومن عادة السفینة أ نّها لا تجری ولا تتحرّک إذا کان فیها آبق، وقال یونس أنا الآبق، فاقترعوا فوقع السهم علیه وقد کرّر هذا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السفینة لمّا توسّطت البحر بعث اللّه حوتاً عظیماً فحبس علیهم السفینة من قدّامها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الفلک من جهة أ نّه کان مشحوناً ومملوّاً من الناس والأثقال صار مشرفاً علی الغرق، فرأوا أ نّهم إن طرحوا واحداً منهم لم یغرق الباقون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الاحتمال مطابق لظاهر الآیة الشریفة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الطبری أنّ یونس علیه السلام لمّا رکب فیها أصاب أهلها عاصف من الرِّیح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بخطیئة أحدکم، فقال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 أ نّه هو صاحب الذنب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خطیئتی، فألقونی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 نّهم أبوا علیه حتّی أفاضوا بسهامهم، ثمّ إنّهم ساهموا ثانیاً وثالثاً، فلمّا رأی ذلک فی المرّة الثالثة ألقی نفسه فی البحر وذلک تحت اللّیل فابتلعه الحوت</w:t>
      </w:r>
      <w:r>
        <w:rPr>
          <w:rFonts w:eastAsia="IRNazanin" w:cs="IRNazanin"/>
          <w:color w:val="111111"/>
          <w:sz w:val="28"/>
          <w:szCs w:val="28"/>
          <w:rtl w:val="true"/>
          <w:lang w:bidi="fa-IR"/>
        </w:rPr>
        <w:t>.</w:t>
      </w:r>
      <w:r>
        <w:rPr>
          <w:rStyle w:val="FootnoteAnchor"/>
          <w:rtl w:val="true"/>
        </w:rPr>
        <w:footnoteReference w:id="5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لمّا رکب فی السفینة تقنّع و رَقَد فساروا غیر بعید إذ</w:t>
      </w:r>
    </w:p>
    <w:p>
      <w:pPr>
        <w:pStyle w:val="BookText"/>
        <w:rPr/>
      </w:pPr>
      <w:r>
        <w:rPr>
          <w:rFonts w:ascii="IRNazanin" w:hAnsi="IRNazanin" w:eastAsia="IRNazanin"/>
          <w:color w:val="111111"/>
          <w:sz w:val="28"/>
          <w:sz w:val="28"/>
          <w:szCs w:val="28"/>
          <w:rtl w:val="true"/>
          <w:lang w:bidi="fa-IR"/>
        </w:rPr>
        <w:t>جاءتهم ریح کادَت السفینة أن تغرق، فاجتمع أهل السفینة فدعوا فقالوا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أیقظوا الرجل النائم یدعو معنا، فدعا اللّه معهم، فرفع اللّه عنهم تلک الرّیح، ثمّ انطلق یونس إلی مکانه فرقَدَ، فجاءت ریح کادَت السفینة أن تغرق، فأیقظوه ودعوا اللّه، فارتفعت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هم کذلک إذ رفع حوتٌ عظیم رأسه إلیهم أراد أن یبتلع السفینة، فقال لهم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هذا من أجلی فلو طرحتمونی فی البحر لسرتم ولذهب الریح عنکم والروع،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نطرحک حتّی نتساهم فمن وقعت علیه رمیناه فی البحر،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فتساهموا فوقع علی یونس،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اطرحونی فمن أجلی أُوتیتم،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نفعل حتّی نتساهم مرّةً أُخری، ففعلوا فوقع علی یونس،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اطرحونی فمن أجلی أُوتیتم، فذلک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فَساهَمَ فَکانَ مِنَ الْمُدْحَضِینَ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وقع السهم علیه، فانطلقوا به إلی صدر السفینة لیلقوه فی البحر، فإذا الحوت فاتح فاه، ثمّ جاؤا به إلی جانب السفینة فإذاً بالحوت، ثمّ رجعوا به إلی الجانب الآخر، فإذاً بالحوت فاتح فاه ثمّ جاؤا به إلی جانب السفینة، فإذاً بالحوت، ثمّ رجعوا به إلی الجانب الآخر، فإذاً بالحوت فاتح فاه، فلمّا رأی ذلک ألقی بنفسه فالتقمه الحوت، فأوحی اللّه تعالی إلی الحوت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لم أجعله لک رزقاً، ولکن جعلت بطنک له وعاءً، فمکث فی بطن الحوت أربعین 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فَنادی فِی الظُّلُماتِ أَنْ لا إِلهَ إِلاّ أَنْتَ سُبْحانَکَ إِنِّی کُنْتُ مِنَ</w:t>
      </w:r>
      <w:bookmarkStart w:id="80" w:name="pg5448_41220"/>
    </w:p>
    <w:p>
      <w:pPr>
        <w:pStyle w:val="BookText"/>
        <w:rPr/>
      </w:pPr>
      <w:bookmarkEnd w:id="80"/>
      <w:r>
        <w:rPr>
          <w:rFonts w:ascii="Amiri" w:hAnsi="Amiri" w:eastAsia="Amiri" w:cs="Amiri"/>
          <w:color w:val="111111"/>
          <w:sz w:val="28"/>
          <w:sz w:val="28"/>
          <w:szCs w:val="28"/>
          <w:rtl w:val="true"/>
          <w:lang w:bidi="ar-SA"/>
        </w:rPr>
        <w:t>اَلظّالِمِینَ فَاسْتَجَبْنا لَهُ وَ نَجَّیْناهُ مِنَ الْغَمِّ وَ کَذلِکَ نُنْجِی 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Heading5"/>
        <w:numPr>
          <w:ilvl w:val="4"/>
          <w:numId w:val="1"/>
        </w:numPr>
        <w:rPr/>
      </w:pPr>
      <w:bookmarkStart w:id="81" w:name="__RefHeading___Toc1920208_581953129"/>
      <w:bookmarkStart w:id="82" w:name="_Toc33"/>
      <w:bookmarkEnd w:id="81"/>
      <w:r>
        <w:rPr>
          <w:rtl w:val="true"/>
        </w:rPr>
        <w:t>تقریر الاستدلال بالآیة</w:t>
      </w:r>
      <w:bookmarkEnd w:id="82"/>
    </w:p>
    <w:p>
      <w:pPr>
        <w:pStyle w:val="BookText"/>
        <w:rPr/>
      </w:pPr>
      <w:r>
        <w:rPr>
          <w:rFonts w:ascii="IRNazanin" w:hAnsi="IRNazanin" w:eastAsia="IRNazanin"/>
          <w:color w:val="111111"/>
          <w:sz w:val="28"/>
          <w:sz w:val="28"/>
          <w:szCs w:val="28"/>
          <w:rtl w:val="true"/>
          <w:lang w:bidi="fa-IR"/>
        </w:rPr>
        <w:t>بیان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والاستدلال بها علی أصل مشروعیّة القرعة بتقریرین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الفاعل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یونس علیه السلام، کما أنّ ظاهر السیاق یدلّ علیه، فالعمل بناءً علی هذا، صادر من یونس الذی کان من حجج اللّه تبارک وتعالی، وعمل النبیّ حجّة، فیثبت أنّ القرعة کانت مشروعة فی مذهبه، وفی هذا التقریر نحتاج إلی انضمام جریان الاستصحاب فی الشرائع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بناءً علی عدمه فلا ینفع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بمعنی أنّ یونس فعل القرعة، بل بمعنی وقوع السهم علیه، وعلی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الشارع المقدّس لیس فی مقام نقل القصّة الخارجیّة والحکایة الماضیة فقط، بل قد أمضی هذا العمل</w:t>
      </w:r>
      <w:r>
        <w:rPr>
          <w:rFonts w:eastAsia="IRNazanin" w:cs="IRNazanin"/>
          <w:color w:val="111111"/>
          <w:sz w:val="28"/>
          <w:szCs w:val="28"/>
          <w:rtl w:val="true"/>
          <w:lang w:bidi="fa-IR"/>
        </w:rPr>
        <w:t>.</w:t>
      </w:r>
    </w:p>
    <w:p>
      <w:pPr>
        <w:pStyle w:val="Heading5"/>
        <w:numPr>
          <w:ilvl w:val="4"/>
          <w:numId w:val="1"/>
        </w:numPr>
        <w:rPr/>
      </w:pPr>
      <w:bookmarkStart w:id="83" w:name="__RefHeading___Toc1920210_581953129"/>
      <w:bookmarkStart w:id="84" w:name="_Toc34"/>
      <w:bookmarkEnd w:id="83"/>
      <w:r>
        <w:rPr>
          <w:rtl w:val="true"/>
        </w:rPr>
        <w:t>الإشکالات الثلاثة علی الاستدلال بالآیة</w:t>
      </w:r>
      <w:bookmarkEnd w:id="84"/>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علی کونه بصدد الإمضاء و اللّازم إحراز ذلک فی المقام؟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القرعة مذمومة أو مرجوحة بنظره فاللّازم البیان؛ فإنّه 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لیس مقصوده تعالی من نقل القصص مجرّد الحکایة والقصّة؛ فإنّه 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یترتّب علیه شیء، بل مقصوده</w:t>
      </w:r>
      <w:bookmarkStart w:id="85" w:name="pg5448_41221"/>
    </w:p>
    <w:p>
      <w:pPr>
        <w:pStyle w:val="BookText"/>
        <w:rPr/>
      </w:pPr>
      <w:bookmarkEnd w:id="85"/>
      <w:r>
        <w:rPr>
          <w:rFonts w:ascii="IRNazanin" w:hAnsi="IRNazanin" w:eastAsia="IRNazanin"/>
          <w:color w:val="111111"/>
          <w:sz w:val="28"/>
          <w:sz w:val="28"/>
          <w:szCs w:val="28"/>
          <w:rtl w:val="true"/>
          <w:lang w:bidi="fa-IR"/>
        </w:rPr>
        <w:t>العبرة، کما صرّح بذلک فی بعض الآیات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هذا العمل غیر صحیح لوجب علیه أن ینبّهه لکی لا یقع الآخرون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نستظهر الإمضاء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مِنَ الْمُدْحَضِینَ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 إذا لم یکن العمل ممضی عنده، فالمعنی أ نّه کان من المغلوبین عند القوم لا عنده، مع أنّ الظاهر أنّ المراد أ نّه کان من المدحضین واقعاً، وهذا ملازم للإمضاء، فتدبّر واغتنم، فإذا کان العمل ممضی عنده، فمعناه شرعیّة القرعة فی الإسلام أیضاً،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 التقریرین أ نّه علی الأوّل لا نحتاج إلی إحراز الإمضاء والتأیید، بخلاف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العمل عندهم بصفة کونهم متدیّنین فالإمضاء یدلّ علی المشروعیّة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یکن کذلک فالإمضاء وإن أحرزناها ولکن لا ینفع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أمرٌ باطل، وإمضاء الشارع بالنسبة إلی عمل قوم لا یحتاج إلی کون العمل صادراً عن هذه الجهة، وهذا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هذین التقریرین یظهر الجواب عن الإشکالات الثلاث التی أوردها بعض</w:t>
      </w:r>
      <w:r>
        <w:rPr>
          <w:rStyle w:val="FootnoteAnchor"/>
          <w:rtl w:val="true"/>
        </w:rPr>
        <w:footnoteReference w:id="55"/>
      </w:r>
      <w:r>
        <w:rPr>
          <w:rFonts w:ascii="IRNazanin" w:hAnsi="IRNazanin" w:eastAsia="IRNazanin"/>
          <w:color w:val="111111"/>
          <w:sz w:val="28"/>
          <w:sz w:val="28"/>
          <w:szCs w:val="28"/>
          <w:rtl w:val="true"/>
          <w:lang w:bidi="fa-IR"/>
        </w:rPr>
        <w:t>، فیظهر تمامیّة الاستدلال بالآیة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 قد یطرح سؤالان، واللّازم الجواب عنهما</w:t>
      </w:r>
      <w:r>
        <w:rPr>
          <w:rFonts w:eastAsia="IRNazanin" w:cs="IRNazanin"/>
          <w:color w:val="111111"/>
          <w:sz w:val="28"/>
          <w:szCs w:val="28"/>
          <w:rtl w:val="true"/>
          <w:lang w:bidi="fa-IR"/>
        </w:rPr>
        <w:t>:</w:t>
      </w:r>
    </w:p>
    <w:p>
      <w:pPr>
        <w:pStyle w:val="Heading5"/>
        <w:numPr>
          <w:ilvl w:val="4"/>
          <w:numId w:val="1"/>
        </w:numPr>
        <w:rPr/>
      </w:pPr>
      <w:bookmarkStart w:id="86" w:name="__RefHeading___Toc1920212_581953129"/>
      <w:bookmarkStart w:id="87" w:name="_Toc35"/>
      <w:bookmarkEnd w:id="86"/>
      <w:r>
        <w:rPr>
          <w:rtl w:val="true"/>
        </w:rPr>
        <w:t>هل یصحّ التمسک بالقرعة فیما کان نظیراً لمورد الآیة؟</w:t>
      </w:r>
      <w:bookmarkEnd w:id="8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بعد دلالة الآیة علی مشروعیّة القرعة، فهل یصحّ التمسّک بالقرعة فیما کان نظیراً لمورد الآیة الشریفة، فلو دار الأمر بین</w:t>
      </w:r>
      <w:bookmarkStart w:id="88" w:name="pg5448_41222"/>
    </w:p>
    <w:p>
      <w:pPr>
        <w:pStyle w:val="BookText"/>
        <w:rPr/>
      </w:pPr>
      <w:bookmarkEnd w:id="88"/>
      <w:r>
        <w:rPr>
          <w:rFonts w:ascii="IRNazanin" w:hAnsi="IRNazanin" w:eastAsia="IRNazanin"/>
          <w:color w:val="111111"/>
          <w:sz w:val="28"/>
          <w:sz w:val="28"/>
          <w:szCs w:val="28"/>
          <w:rtl w:val="true"/>
          <w:lang w:bidi="fa-IR"/>
        </w:rPr>
        <w:t>حفظ جمع کثیر وقتل شخص واحد؛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لو قتل شخص واحد لکان الکثیر محفوظین، فهل یجوز الإقراع لإیقاع شخص فی الهلاکة أم لا؟ فالظاهر المسلّم الذی لا ریب فیه من جهة ضرورة الفقه عدم جواز ذلک، و اللّازم فی هذه الموارد تفویض الأمر إلی اللّه تبارک وتعالی، والصبر علی قضاء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یتوهّم أنّ ذلک موجب لخروج مورد الآیة عنها،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کما أنّ تخصیص المورد باطل، فیکون إخراج المورد أیضاً قبیحاً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لا یستلزم إخراج المورد، فقد عمل بالقرعة فی مورد الآیة، ولا شکّ من هذه الجهة، ونتمسّک بهذه الکلّیة فی سائر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نظائر المورد فیما لو کان قتل أحد فی البین فلا نتمسّک، والقرینة علیه هی ضرورة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التمسّک سیّما فیما لو کان القاتل معلوماً إجمالاً بین أحدٍ من الخمسة مثلاً، فلا تثبته القرعة ولا تعیّنه، هذا مع غضّ النظر عن عدم جریانها فی موارد العلم الإجمالی، کما سیأتی</w:t>
      </w:r>
      <w:r>
        <w:rPr>
          <w:rFonts w:eastAsia="IRNazanin" w:cs="IRNazanin"/>
          <w:color w:val="111111"/>
          <w:sz w:val="28"/>
          <w:szCs w:val="28"/>
          <w:rtl w:val="true"/>
          <w:lang w:bidi="fa-IR"/>
        </w:rPr>
        <w:t>.</w:t>
      </w:r>
      <w:r>
        <w:rPr>
          <w:rStyle w:val="FootnoteAnchor"/>
          <w:rtl w:val="true"/>
        </w:rPr>
        <w:footnoteReference w:id="56"/>
      </w:r>
    </w:p>
    <w:p>
      <w:pPr>
        <w:pStyle w:val="Heading5"/>
        <w:numPr>
          <w:ilvl w:val="4"/>
          <w:numId w:val="1"/>
        </w:numPr>
        <w:rPr/>
      </w:pPr>
      <w:bookmarkStart w:id="89" w:name="__RefHeading___Toc1920214_581953129"/>
      <w:bookmarkStart w:id="90" w:name="_Toc36"/>
      <w:bookmarkEnd w:id="89"/>
      <w:r>
        <w:rPr>
          <w:rtl w:val="true"/>
        </w:rPr>
        <w:t>هل القرعة فی مورد الآیة مختصّ بما إذا کان المجهول معیّناً واقعاً ومجهولاً ظاهراً؟</w:t>
      </w:r>
      <w:bookmarkEnd w:id="9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القرعة فی مورد الآیة لاستکشاف الواقع المعیّن المجهول ظاهراً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تجری فیما إذا کان الاشتباه والجهل بحسب الظاهر مع کون الواقع معیّناً، أم لا بل تعمّ ما إذا کان الواقع غیر معیّن أیضاً؟</w:t>
      </w:r>
      <w:bookmarkStart w:id="91" w:name="pg5448_41223"/>
    </w:p>
    <w:p>
      <w:pPr>
        <w:pStyle w:val="BookText"/>
        <w:rPr/>
      </w:pPr>
      <w:bookmarkEnd w:id="91"/>
      <w:r>
        <w:rPr>
          <w:rFonts w:ascii="IRNazanin" w:hAnsi="IRNazanin" w:eastAsia="IRNazanin"/>
          <w:color w:val="111111"/>
          <w:sz w:val="28"/>
          <w:sz w:val="28"/>
          <w:szCs w:val="28"/>
          <w:rtl w:val="true"/>
          <w:lang w:bidi="fa-IR"/>
        </w:rPr>
        <w:t>فنقول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یختلف باختلاف ما مرّ</w:t>
      </w:r>
      <w:r>
        <w:rPr>
          <w:rStyle w:val="FootnoteAnchor"/>
          <w:rtl w:val="true"/>
        </w:rPr>
        <w:footnoteReference w:id="57"/>
      </w:r>
      <w:r>
        <w:rPr>
          <w:rFonts w:ascii="IRNazanin" w:hAnsi="IRNazanin" w:eastAsia="IRNazanin"/>
          <w:color w:val="111111"/>
          <w:sz w:val="28"/>
          <w:sz w:val="28"/>
          <w:szCs w:val="28"/>
          <w:rtl w:val="true"/>
          <w:lang w:bidi="fa-IR"/>
        </w:rPr>
        <w:t>من النصوص والتواریخ؛ فإنّه بناءً علی القول الأوّل والرابع تکون القرعة بالنسبة إلی الواقع المعیّن؛ فإنّه بناءً علی الأوّل یکون فی الواقع آبقاً والقرعة تستکشفه، کما أ نّه بناءً علی الرابع تکون القرعة لاستکشاف من کان صاحب الخطیئة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بناءً علی الثانی والثالث فتعمّ وتشمل ما إذا کان الواقع غیر معیّن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بناءً علی الثانی؛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بعث حوتاً عظیماً لبلع السفینة فلا واقع معیّن، و أیضاً بناءً علی الثالث؛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نّها کانت مشحونة ومشرِفَة علی الغرق فلا واقع معیّن بالنسبة إلی أحد، کما هو واضح</w:t>
      </w:r>
      <w:r>
        <w:rPr>
          <w:rFonts w:eastAsia="IRNazanin" w:cs="IRNazanin"/>
          <w:color w:val="111111"/>
          <w:sz w:val="28"/>
          <w:szCs w:val="28"/>
          <w:rtl w:val="true"/>
          <w:lang w:bidi="fa-IR"/>
        </w:rPr>
        <w:t>.</w:t>
      </w:r>
    </w:p>
    <w:p>
      <w:pPr>
        <w:pStyle w:val="Heading5"/>
        <w:numPr>
          <w:ilvl w:val="4"/>
          <w:numId w:val="1"/>
        </w:numPr>
        <w:rPr/>
      </w:pPr>
      <w:bookmarkStart w:id="92" w:name="__RefHeading___Toc1920216_581953129"/>
      <w:bookmarkStart w:id="93" w:name="_Toc37"/>
      <w:bookmarkEnd w:id="92"/>
      <w:r>
        <w:rPr>
          <w:rtl w:val="true"/>
        </w:rPr>
        <w:t>الروایات التی استدلّ فیها بالآیة</w:t>
      </w:r>
      <w:bookmarkEnd w:id="93"/>
    </w:p>
    <w:p>
      <w:pPr>
        <w:pStyle w:val="BookText"/>
        <w:rPr/>
      </w:pPr>
      <w:r>
        <w:rPr>
          <w:rFonts w:ascii="IRNazanin" w:hAnsi="IRNazanin" w:eastAsia="IRNazanin"/>
          <w:color w:val="111111"/>
          <w:sz w:val="28"/>
          <w:sz w:val="28"/>
          <w:szCs w:val="28"/>
          <w:rtl w:val="true"/>
          <w:lang w:bidi="fa-IR"/>
        </w:rPr>
        <w:t>الروایات التی استدلّ فیها بالآیة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من مجموع ما قلناه تمامیّة الاستدلال بالآیة الشریفة، فلا نحتاج فیه إلی التمسّک بالروایة أو الروایات التی استدلّ فیها بالآیة، فما یستفاد من کلمات بعض من أنّ احتجاج الأئمّة علیهم السلام بهذه الآیة قرینة علی دلالة الآیة علی المدّعی فلیس بتامّ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هی مؤیّدة لما یستفاد منها، والظاهر أ نّها ثلاث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أرسله الصدوق فی الفقیه،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تقارع قوم، ففوّضوا أمرهم إلی اللّه عزّ وجلّ إلّاخرج سهم المحقّ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قضیّة أعدل من القرعة إذا فوّض الأمر إلی اللّه، ألیس اللّه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فَساهَمَ فَکانَ مِنَ الْمُدْحَضِینَ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الاستفهام التقریری یدلّ بوضوح علی دلالة الآیة الشریفة علی مشروعیّة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ثعلبة، وهی ما رواه أحمد بن محمّد، عن ابن فضّال، والحجّال، عن ثعلبة بن میمون،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مولود لیس بذکر ولا أُنثی، لیس له إلّادبر، کیف یورث؟ 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یجلس الإمام، ویجلس عنده ناس من المسلمین، فیدعو اللّه، وتجال السهام علیه علی أیّ میراث یورثه، أمیراث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یورث علی میراث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أو میراث الأُنثی، فأیّ ذلک خرج علیه ورّثه،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 قضیّة أعدل من قضیّة تجال علیها السهام، وذکر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 أمرٍ یختلف فیه اثنان إلّاوله أصل فی کتاب اللّه، ولکن لا تبلغه عقول الرجال</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ذکر الإمام علیه السلام دلالة الآیة الشریفة علی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یتوهّم أنّ ذیل الروایة؛ وهو قوله علیه السلام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لا تبلغه عقول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یشعر بعدم قدرة العقول علی هذه الدلالة، بل هی محتاجة إلی بیان المعصوم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نقدر للاستدلال بها علیها، فهل هذا الذیل مناف لما ورد فی المرسلة السابقة من الاستفهام التقریری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94" w:name="pg5448_41225"/>
    </w:p>
    <w:p>
      <w:pPr>
        <w:pStyle w:val="Heading5"/>
        <w:numPr>
          <w:ilvl w:val="4"/>
          <w:numId w:val="1"/>
        </w:numPr>
        <w:rPr/>
      </w:pPr>
      <w:bookmarkStart w:id="95" w:name="__RefHeading___Toc1920218_581953129"/>
      <w:bookmarkStart w:id="96" w:name="_Toc38"/>
      <w:bookmarkEnd w:id="94"/>
      <w:bookmarkEnd w:id="95"/>
      <w:r>
        <w:rPr>
          <w:rtl w:val="true"/>
        </w:rPr>
        <w:t>تقریر الاستدلال بالآیة</w:t>
      </w:r>
      <w:bookmarkEnd w:id="96"/>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توهّم فاسد؛ فإنّ التعبیر فی مرسلة الفقیه أظهر من التعبیر الوارد فی ذیل تلک المرسلة، وظاهر الذیل فیها وإن کان یدلّ علی عدم بلوغ العقول بمفاد الآیة، ولکن نتصرّف فی هذا الظاهر بما هو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المراد أ نّه لاتبلغه عقول نوع الناس وعوامهم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احتمال آخر؛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الذیل عدم بلوغ عقول جمع الرجال بکلّ أصل وارد فی کتاب اللّه فی موارد التنازع،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الإمام علیه السلام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ما من تنازع إلّاوله حکمٌ وأصل فی کتاب اللّه، وهذا الأمر بهذه الکلّیة لم یبلغ إلیه أحدٌ من الرجال إلّا المعصومون علیهم السلام،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مرسلة ثعلبة وهی موثّقة ابن مسکان</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 w:name="__RefHeading___Toc1920220_581953129"/>
      <w:bookmarkStart w:id="98" w:name="_Toc39"/>
      <w:bookmarkEnd w:id="97"/>
      <w:r>
        <w:rPr>
          <w:rtl w:val="true"/>
        </w:rPr>
        <w:t>الآیة الثانیة</w:t>
      </w:r>
      <w:r>
        <w:rPr>
          <w:rtl w:val="true"/>
        </w:rPr>
        <w:t xml:space="preserve">: </w:t>
      </w:r>
      <w:r>
        <w:rPr>
          <w:rtl w:val="true"/>
        </w:rPr>
        <w:t xml:space="preserve">قوله تعالی </w:t>
      </w:r>
      <w:r>
        <w:rPr>
          <w:rtl w:val="true"/>
        </w:rPr>
        <w:t>«</w:t>
      </w:r>
      <w:r>
        <w:rPr>
          <w:rtl w:val="true"/>
        </w:rPr>
        <w:t>وما کنت لدیهم إذ یلقون مریم</w:t>
      </w:r>
      <w:r>
        <w:rPr>
          <w:rtl w:val="true"/>
        </w:rPr>
        <w:t>»</w:t>
      </w:r>
      <w:bookmarkEnd w:id="98"/>
    </w:p>
    <w:p>
      <w:pPr>
        <w:pStyle w:val="Heading5"/>
        <w:numPr>
          <w:ilvl w:val="4"/>
          <w:numId w:val="1"/>
        </w:numPr>
        <w:rPr/>
      </w:pPr>
      <w:bookmarkStart w:id="99" w:name="__RefHeading___Toc1920222_581953129"/>
      <w:bookmarkStart w:id="100" w:name="_Toc40"/>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الآیة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فی سورة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کُنْتَ لَدَیْهِمْ إِذْ یُلْقُونَ أَقْلامَهُمْ أَیُّهُمْ یَکْفُلُ 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دلّت الآیة الشریفة علی أنّ قوم عمران بعد أن اختصموا فی کفالة مریم، وبعد أن قال زکریّا علیه السلام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أحقّ بمریم من جهة التکفّل؛ لأنّ عندی خالتها،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حتّی نقرع علیها، فانطلقوا إلی نهر أردن فألقوا فیه أقلامهم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کانوا یکتبون بها الوحی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من ارتفع قلمه فوق الماء فهو أحقّ بها،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أقلامهم کانت من الحدید، فألقوا أقلامهم</w:t>
      </w:r>
    </w:p>
    <w:p>
      <w:pPr>
        <w:pStyle w:val="BookText"/>
        <w:rPr/>
      </w:pPr>
      <w:r>
        <w:rPr>
          <w:rFonts w:ascii="Amiri" w:hAnsi="Amiri" w:eastAsia="Amiri" w:cs="Amiri"/>
          <w:color w:val="111111"/>
          <w:sz w:val="28"/>
          <w:sz w:val="28"/>
          <w:szCs w:val="28"/>
          <w:rtl w:val="true"/>
          <w:lang w:bidi="ar-SA"/>
        </w:rPr>
        <w:t>ثلاث مرّات وفی کلّ مرّة ارتفع قلم زکریّا</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الآیة تدلّ بوضوح علی مشروعیّة القرعة حتّی فیما کان فی البین طریق آخر؛ فإنّ زکریّا عنده خالة مریم، وربما کان هذا الأمر موجباً لرجحان زکریّا علی غیره، ومع ذلک اتّفقوا علی القرعة، فما یقال، وسنذکره فیما بعد</w:t>
      </w:r>
      <w:r>
        <w:rPr>
          <w:rStyle w:val="FootnoteAnchor"/>
          <w:rtl w:val="true"/>
        </w:rPr>
        <w:footnoteReference w:id="61"/>
      </w:r>
      <w:r>
        <w:rPr>
          <w:rFonts w:ascii="IRNazanin" w:hAnsi="IRNazanin" w:eastAsia="IRNazanin"/>
          <w:color w:val="111111"/>
          <w:sz w:val="28"/>
          <w:sz w:val="28"/>
          <w:szCs w:val="28"/>
          <w:rtl w:val="true"/>
          <w:lang w:bidi="fa-IR"/>
        </w:rPr>
        <w:t>من أنّ القرعة إنّما هی فیما إذا لم یکن فی البین سبیل آخر، غیر مطابق لهذه الآیة الشریفة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یخفی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یُلْقُونَ أَقْلامَهُمْ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بوضوح علی القرعة والاقتراع، فلا إبهام فی الآیة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أَیُّهُمْ یَکْفُلُ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مورداً للاقتراع ومتعلّقاً له، فما ذکره بعض من وجود الإبهام فی نفس الآیة، ونحتاج إلی القرائن الداخلیّة أو الخارجیّة لرفعه</w:t>
      </w:r>
      <w:r>
        <w:rPr>
          <w:rStyle w:val="FootnoteAnchor"/>
          <w:rtl w:val="true"/>
        </w:rPr>
        <w:footnoteReference w:id="62"/>
      </w:r>
      <w:r>
        <w:rPr>
          <w:rFonts w:ascii="IRNazanin" w:hAnsi="IRNazanin" w:eastAsia="IRNazanin"/>
          <w:color w:val="111111"/>
          <w:sz w:val="28"/>
          <w:sz w:val="28"/>
          <w:szCs w:val="28"/>
          <w:rtl w:val="true"/>
          <w:lang w:bidi="fa-IR"/>
        </w:rPr>
        <w:t>، غیر مطابق للتحقیق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أیضاً أنّ الشارع الأقدس قد أمضی هذا العمل فی شرعنا، و إلّا لوجب التنبیه علی بطلانه، ولا نحتاج فی هذه الآیة إلی الاستصحاب، کما لایخفی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مورد القرعة فی الآیة الشریفة فیما إذا لم یکن فی البین واقع معیّن، فیستفاد أنّ القرعة لیست منحصرة بما إذا کان الواقع معیّناً والظاهر مجهولاً، فتدبّر</w:t>
      </w:r>
      <w:r>
        <w:rPr>
          <w:rFonts w:eastAsia="IRNazanin" w:cs="IRNazanin"/>
          <w:color w:val="111111"/>
          <w:sz w:val="28"/>
          <w:szCs w:val="28"/>
          <w:rtl w:val="true"/>
          <w:lang w:bidi="fa-IR"/>
        </w:rPr>
        <w:t>.</w:t>
      </w:r>
      <w:bookmarkStart w:id="101" w:name="pg5448_41227"/>
    </w:p>
    <w:p>
      <w:pPr>
        <w:pStyle w:val="Heading5"/>
        <w:numPr>
          <w:ilvl w:val="4"/>
          <w:numId w:val="1"/>
        </w:numPr>
        <w:rPr/>
      </w:pPr>
      <w:bookmarkStart w:id="102" w:name="__RefHeading___Toc1920224_581953129"/>
      <w:bookmarkStart w:id="103" w:name="_Toc41"/>
      <w:bookmarkEnd w:id="101"/>
      <w:bookmarkEnd w:id="102"/>
      <w:r>
        <w:rPr>
          <w:rtl w:val="true"/>
        </w:rPr>
        <w:t>الروایة التی استدل فیها بالآیة</w:t>
      </w:r>
      <w:bookmarkEnd w:id="103"/>
    </w:p>
    <w:p>
      <w:pPr>
        <w:pStyle w:val="BookText"/>
        <w:rPr/>
      </w:pPr>
      <w:r>
        <w:rPr>
          <w:rFonts w:ascii="IRNazanin" w:hAnsi="IRNazanin" w:eastAsia="IRNazanin"/>
          <w:color w:val="111111"/>
          <w:sz w:val="28"/>
          <w:sz w:val="28"/>
          <w:szCs w:val="28"/>
          <w:rtl w:val="true"/>
          <w:lang w:bidi="fa-IR"/>
        </w:rPr>
        <w:t>وقد یستدلّ بهذه الآیة فی بعض الروایات، فقد روی الصدوق بإسناده عن عاصم بن حمید، عن حمّاد بن عیسی، عمّن أخبره، عن حریز، عن أبی جعفر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سوهم علیه مریم بنت عمران؛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کُنْتَ لَدَیْهِمْ إِذْ یُلْقُونَ أَقْلامَهُمْ أَیُّهُمْ یَکْفُلُ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والسهام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الحدیث</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تمام الکلام فی الاستدلال بالآیات</w:t>
      </w:r>
      <w:r>
        <w:rPr>
          <w:rFonts w:eastAsia="IRNazanin" w:cs="IRNazanin"/>
          <w:color w:val="111111"/>
          <w:sz w:val="28"/>
          <w:szCs w:val="28"/>
          <w:rtl w:val="true"/>
          <w:lang w:bidi="fa-IR"/>
        </w:rPr>
        <w:t>.</w:t>
      </w:r>
    </w:p>
    <w:p>
      <w:pPr>
        <w:pStyle w:val="Heading5"/>
        <w:numPr>
          <w:ilvl w:val="4"/>
          <w:numId w:val="1"/>
        </w:numPr>
        <w:rPr/>
      </w:pPr>
      <w:bookmarkStart w:id="104" w:name="__RefHeading___Toc1920226_581953129"/>
      <w:bookmarkStart w:id="105" w:name="_Toc42"/>
      <w:bookmarkEnd w:id="104"/>
      <w:r>
        <w:rPr>
          <w:rtl w:val="true"/>
        </w:rPr>
        <w:t>أفضلیّة الصدیقة الطاهرة علی مریم بنت عمران علیهما السلام</w:t>
      </w:r>
      <w:bookmarkEnd w:id="10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أشار والدی الراحل قدس سره إلی نکتة فی هذه الآیة الکریمة،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تبارک وتعالی قال قلبها بآیتین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مَرْیَمُ إِنَّ اللّهَ اصْطَفاکِ وَ طَهَّرَکِ وَ اصْطَفاکِ عَلی نِساءِ الْعالَمِینَ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فیها کلمة الاصطفاء مرّتین، فلقائل أن یقول لا معنی لهذا التکرار إلّاالتأکید، فمن هذه الجهة تدلّ الآیة الشریفة مع هذا التأکید علی أفضلیّة مریم علی نساء العالمین حتّی فاطمة الزهراء علیها السلام، ومن ناحیة أُخری تدلّ بعض الروایات بوضوح علی ترجیح فاطمة الزهراء علی مریم علیهما السلام حیث عرّفت فاطمة فیها بأنّها سیّدة نساء أهل الجنّة</w:t>
      </w:r>
      <w:r>
        <w:rPr>
          <w:rStyle w:val="FootnoteAnchor"/>
          <w:rtl w:val="true"/>
        </w:rPr>
        <w:footnoteReference w:id="64"/>
      </w:r>
      <w:r>
        <w:rPr>
          <w:rFonts w:ascii="IRNazanin" w:hAnsi="IRNazanin" w:eastAsia="IRNazanin"/>
          <w:color w:val="111111"/>
          <w:sz w:val="28"/>
          <w:sz w:val="28"/>
          <w:szCs w:val="28"/>
          <w:rtl w:val="true"/>
          <w:lang w:bidi="fa-IR"/>
        </w:rPr>
        <w:t>؛ فهی علیها السلام سیّدة نساء العالمین حتّی</w:t>
      </w:r>
    </w:p>
    <w:p>
      <w:pPr>
        <w:pStyle w:val="BookText"/>
        <w:rPr/>
      </w:pPr>
      <w:r>
        <w:rPr>
          <w:rFonts w:ascii="IRNazanin" w:hAnsi="IRNazanin" w:eastAsia="IRNazanin"/>
          <w:color w:val="111111"/>
          <w:sz w:val="28"/>
          <w:sz w:val="28"/>
          <w:szCs w:val="28"/>
          <w:rtl w:val="true"/>
          <w:lang w:bidi="fa-IR"/>
        </w:rPr>
        <w:t>مریم علیها السلام؛ لأنّها أیضاً من نساء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ذهب المشهور فی جواب هذه العویصة إلی تفاوت معنی نساء العالمین بالنسبة إلی مریم وإلی فاطمة علیهما السلام؛ 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نساء العالمین بالنسبة إلی مریم نساء العالمین فی زمانه أو إلی زمانه، وبالنسبة إلی الزهراء علیها السلام نساء العالمین من الأوّلین والآخرین، ولکن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المعنی خلاف ظاهر الآیة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أجاب والدی الراحل بنحو آخر، وتمسّک لذلک بروایة علیّ بن إبراهیم القمّی فی ذیل هذه الآیة حیث ورد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إصطفاها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الأولی فاصطفاها أی اختارها، وأمّا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حملت من غیر فحل، فاصطفاها بذلک علی نساء العالمین</w:t>
      </w:r>
      <w:r>
        <w:rPr>
          <w:rFonts w:eastAsia="IRNazanin" w:cs="IRNazanin"/>
          <w:color w:val="111111"/>
          <w:sz w:val="28"/>
          <w:szCs w:val="28"/>
          <w:rtl w:val="true"/>
          <w:lang w:bidi="fa-IR"/>
        </w:rPr>
        <w:t>»</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فالإصطفاء الثانی علی نساء العالمین مختصّ بمریم علیها السلام ولا یشمل الصدیقة الکبری علیها السلام حیث إنّها لم تلد بغیر فحل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روی الطبرسی رحمه الله أنّه قال أبو جعفر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الآیة اصطفاک من ذرّیة الأنبیاء وطهّرک من السفاح واصطفاک لولادة عیسی علیه السلام من غیر فحل</w:t>
      </w:r>
      <w:r>
        <w:rPr>
          <w:rFonts w:eastAsia="IRNazanin" w:cs="IRNazanin"/>
          <w:color w:val="111111"/>
          <w:sz w:val="28"/>
          <w:szCs w:val="28"/>
          <w:rtl w:val="true"/>
          <w:lang w:bidi="fa-IR"/>
        </w:rPr>
        <w:t>»</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عقیب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وخرج بهذا من أن یکون تکریراً؛ إذ یکون الاصطفاء علی معنیین مختلفین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اصطفاء مریم علی نساء العالمین من حیث حمله بلا فحل</w:t>
      </w:r>
      <w:bookmarkStart w:id="106" w:name="pg5448_41229"/>
    </w:p>
    <w:p>
      <w:pPr>
        <w:pStyle w:val="BookText"/>
        <w:rPr/>
      </w:pPr>
      <w:bookmarkEnd w:id="106"/>
      <w:r>
        <w:rPr>
          <w:rFonts w:ascii="IRNazanin" w:hAnsi="IRNazanin" w:eastAsia="IRNazanin"/>
          <w:color w:val="111111"/>
          <w:sz w:val="28"/>
          <w:sz w:val="28"/>
          <w:szCs w:val="28"/>
          <w:rtl w:val="true"/>
          <w:lang w:bidi="fa-IR"/>
        </w:rPr>
        <w:t>فقط، وأمّا اصطفاء فاطمة علیها السلام علی نساء العالمین من جهة الصفات الکمالیّة أجمع، فهی أفضل من مریم علیها السلام</w:t>
      </w:r>
      <w:r>
        <w:rPr>
          <w:rFonts w:eastAsia="IRNazanin" w:cs="IRNazanin"/>
          <w:color w:val="111111"/>
          <w:sz w:val="28"/>
          <w:szCs w:val="28"/>
          <w:rtl w:val="true"/>
          <w:lang w:bidi="fa-IR"/>
        </w:rPr>
        <w:t>.</w:t>
      </w:r>
    </w:p>
    <w:p>
      <w:pPr>
        <w:pStyle w:val="Heading3"/>
        <w:numPr>
          <w:ilvl w:val="2"/>
          <w:numId w:val="1"/>
        </w:numPr>
        <w:rPr/>
      </w:pPr>
      <w:bookmarkStart w:id="107" w:name="__RefHeading___Toc1920228_581953129"/>
      <w:bookmarkStart w:id="108" w:name="_Toc43"/>
      <w:bookmarkEnd w:id="107"/>
      <w:r>
        <w:rPr>
          <w:rtl w:val="true"/>
        </w:rPr>
        <w:t>دلیل الثانی</w:t>
      </w:r>
      <w:r>
        <w:rPr>
          <w:rtl w:val="true"/>
        </w:rPr>
        <w:t xml:space="preserve">: </w:t>
      </w:r>
      <w:r>
        <w:rPr>
          <w:rtl w:val="true"/>
        </w:rPr>
        <w:t>السنة</w:t>
      </w:r>
      <w:bookmarkEnd w:id="108"/>
    </w:p>
    <w:p>
      <w:pPr>
        <w:pStyle w:val="Heading4"/>
        <w:numPr>
          <w:ilvl w:val="3"/>
          <w:numId w:val="1"/>
        </w:numPr>
        <w:rPr/>
      </w:pPr>
      <w:bookmarkStart w:id="109" w:name="__RefHeading___Toc1920230_581953129"/>
      <w:bookmarkStart w:id="110" w:name="_Toc44"/>
      <w:bookmarkEnd w:id="109"/>
      <w:r>
        <w:rPr>
          <w:rtl w:val="true"/>
        </w:rPr>
        <w:t>اشارة</w:t>
      </w:r>
      <w:bookmarkEnd w:id="110"/>
    </w:p>
    <w:p>
      <w:pPr>
        <w:pStyle w:val="BookText"/>
        <w:rPr/>
      </w:pPr>
      <w:r>
        <w:rPr>
          <w:rFonts w:ascii="Amiri" w:hAnsi="Amiri" w:eastAsia="Amiri" w:cs="Amiri"/>
          <w:color w:val="111111"/>
          <w:sz w:val="28"/>
          <w:sz w:val="28"/>
          <w:szCs w:val="28"/>
          <w:rtl w:val="true"/>
          <w:lang w:bidi="ar-SA"/>
        </w:rPr>
        <w:t>وأمّا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وردت روایات کثیرة بالغة حدّ التواتر المعنوی علی مشروعیّة القرعة، وذکرها صاحب الوسائل فی الأبواب المختلفة، وعددها یبلغ إلی ثمانین حدیث بالإضافة إلی ما ذکره فی المستدرک، ولا ریب فی أنّ هذا العدد من مصادیق التواتر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تبعاً للإمام الخمینی قدس سره فی الاستصحاب</w:t>
      </w:r>
      <w:r>
        <w:rPr>
          <w:rStyle w:val="FootnoteAnchor"/>
          <w:rtl w:val="true"/>
        </w:rPr>
        <w:footnoteReference w:id="67"/>
      </w:r>
      <w:r>
        <w:rPr>
          <w:rFonts w:ascii="IRNazanin" w:hAnsi="IRNazanin" w:eastAsia="IRNazanin"/>
          <w:color w:val="111111"/>
          <w:sz w:val="28"/>
          <w:sz w:val="28"/>
          <w:szCs w:val="28"/>
          <w:rtl w:val="true"/>
          <w:lang w:bidi="fa-IR"/>
        </w:rPr>
        <w:t>نقسّمها إلی ثلاثة أقسام</w:t>
      </w:r>
      <w:r>
        <w:rPr>
          <w:rFonts w:eastAsia="IRNazanin" w:cs="IRNazanin"/>
          <w:color w:val="111111"/>
          <w:sz w:val="28"/>
          <w:szCs w:val="28"/>
          <w:rtl w:val="true"/>
          <w:lang w:bidi="fa-IR"/>
        </w:rPr>
        <w:t>:</w:t>
      </w:r>
    </w:p>
    <w:p>
      <w:pPr>
        <w:pStyle w:val="Heading4"/>
        <w:numPr>
          <w:ilvl w:val="3"/>
          <w:numId w:val="1"/>
        </w:numPr>
        <w:rPr/>
      </w:pPr>
      <w:bookmarkStart w:id="111" w:name="__RefHeading___Toc1920232_581953129"/>
      <w:bookmarkStart w:id="112" w:name="_Toc45"/>
      <w:bookmarkEnd w:id="111"/>
      <w:r>
        <w:rPr>
          <w:rtl w:val="true"/>
        </w:rPr>
        <w:t>وهی ثلاثة أقسام</w:t>
      </w:r>
      <w:bookmarkEnd w:id="112"/>
    </w:p>
    <w:p>
      <w:pPr>
        <w:pStyle w:val="Heading5"/>
        <w:numPr>
          <w:ilvl w:val="4"/>
          <w:numId w:val="1"/>
        </w:numPr>
        <w:rPr/>
      </w:pPr>
      <w:bookmarkStart w:id="113" w:name="__RefHeading___Toc1920234_581953129"/>
      <w:bookmarkStart w:id="114" w:name="_Toc46"/>
      <w:bookmarkEnd w:id="113"/>
      <w:r>
        <w:rPr>
          <w:rtl w:val="true"/>
        </w:rPr>
        <w:t>اشارة</w:t>
      </w:r>
      <w:bookmarkEnd w:id="114"/>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العامّة التی لا تختصّ بمورد دون مورد، وبباب دون باب، بل تدلّ علی مشروعیّة القرعة علی نحو الکلّی والعموم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العموم فی الجملة؛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نّها قاعدة کلّیة فی باب خاصّ وکتاب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الموارد الخاصّة، ولا یستفاد من منطوقه العموم إلّامع إلغاء الخصوصیّة</w:t>
      </w:r>
      <w:r>
        <w:rPr>
          <w:rFonts w:eastAsia="IRNazanin" w:cs="IRNazanin"/>
          <w:color w:val="111111"/>
          <w:sz w:val="28"/>
          <w:szCs w:val="28"/>
          <w:rtl w:val="true"/>
          <w:lang w:bidi="fa-IR"/>
        </w:rPr>
        <w:t>.</w:t>
      </w:r>
    </w:p>
    <w:p>
      <w:pPr>
        <w:pStyle w:val="Heading5"/>
        <w:numPr>
          <w:ilvl w:val="4"/>
          <w:numId w:val="1"/>
        </w:numPr>
        <w:rPr/>
      </w:pPr>
      <w:bookmarkStart w:id="115" w:name="__RefHeading___Toc1920236_581953129"/>
      <w:bookmarkStart w:id="116" w:name="_Toc47"/>
      <w:bookmarkEnd w:id="115"/>
      <w:r>
        <w:rPr>
          <w:rtl w:val="true"/>
        </w:rPr>
        <w:t>القسم الأوّل</w:t>
      </w:r>
      <w:r>
        <w:rPr>
          <w:rtl w:val="true"/>
        </w:rPr>
        <w:t xml:space="preserve">: </w:t>
      </w:r>
      <w:r>
        <w:rPr>
          <w:rtl w:val="true"/>
        </w:rPr>
        <w:t>الروایات العامّة التی تدلّ علی القرعة بنحو العموم</w:t>
      </w:r>
      <w:bookmarkEnd w:id="116"/>
    </w:p>
    <w:p>
      <w:pPr>
        <w:pStyle w:val="Heading6"/>
        <w:numPr>
          <w:ilvl w:val="5"/>
          <w:numId w:val="1"/>
        </w:numPr>
        <w:rPr/>
      </w:pPr>
      <w:bookmarkStart w:id="117" w:name="__RefHeading___Toc1920238_581953129"/>
      <w:bookmarkStart w:id="118" w:name="_Toc48"/>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فأمّا القسم الأوّل</w:t>
      </w:r>
      <w:r>
        <w:rPr>
          <w:rFonts w:eastAsia="Amiri" w:cs="Amiri" w:ascii="Amiri" w:hAnsi="Amiri"/>
          <w:color w:val="111111"/>
          <w:sz w:val="28"/>
          <w:szCs w:val="28"/>
          <w:rtl w:val="true"/>
          <w:lang w:bidi="ar-SA"/>
        </w:rPr>
        <w:t>:</w:t>
      </w:r>
    </w:p>
    <w:p>
      <w:pPr>
        <w:pStyle w:val="Heading6"/>
        <w:numPr>
          <w:ilvl w:val="5"/>
          <w:numId w:val="1"/>
        </w:numPr>
        <w:rPr/>
      </w:pPr>
      <w:bookmarkStart w:id="119" w:name="__RefHeading___Toc1920240_581953129"/>
      <w:bookmarkStart w:id="120" w:name="_Toc49"/>
      <w:bookmarkEnd w:id="119"/>
      <w:r>
        <w:rPr>
          <w:rtl w:val="true"/>
        </w:rPr>
        <w:t>الروایة الاُولی</w:t>
      </w:r>
      <w:r>
        <w:rPr>
          <w:rtl w:val="true"/>
        </w:rPr>
        <w:t xml:space="preserve">: </w:t>
      </w:r>
      <w:r>
        <w:rPr>
          <w:rtl w:val="true"/>
        </w:rPr>
        <w:t>روایة محمّد بن حکیم</w:t>
      </w:r>
      <w:bookmarkEnd w:id="120"/>
    </w:p>
    <w:p>
      <w:pPr>
        <w:pStyle w:val="Heading6"/>
        <w:numPr>
          <w:ilvl w:val="5"/>
          <w:numId w:val="1"/>
        </w:numPr>
        <w:rPr/>
      </w:pPr>
      <w:bookmarkStart w:id="121" w:name="__RefHeading___Toc1920242_581953129"/>
      <w:bookmarkStart w:id="122" w:name="_Toc50"/>
      <w:bookmarkEnd w:id="121"/>
      <w:r>
        <w:rPr>
          <w:rtl w:val="true"/>
        </w:rPr>
        <w:t>اشارة</w:t>
      </w:r>
      <w:bookmarkEnd w:id="122"/>
    </w:p>
    <w:p>
      <w:p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الشیخ بإسناده عن محمّد بن أحمد بن یحیی، عن موسی بن عمر، عن علیّ بن عثمان، عن محمّد بن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w:t>
      </w:r>
    </w:p>
    <w:p>
      <w:pPr>
        <w:pStyle w:val="BookText"/>
        <w:rPr/>
      </w:pPr>
      <w:r>
        <w:rPr>
          <w:rFonts w:ascii="IRNazanin" w:hAnsi="IRNazanin" w:eastAsia="IRNazanin"/>
          <w:color w:val="111111"/>
          <w:sz w:val="28"/>
          <w:sz w:val="28"/>
          <w:szCs w:val="28"/>
          <w:rtl w:val="true"/>
          <w:lang w:bidi="fa-IR"/>
        </w:rPr>
        <w:t>الحسن الکاظم علیه السلام عن شیء؟ فقال 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مجهول ففیه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القرعة تخطئ وتُصیب؟ 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 ما حکم اللّه به فلیس بمخطئ</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رواه الصدوق بطریقین صحیحین فی الفقیه، وفی طریق الشیخ یکون علیّ بن عثمان مشترکاً بین جماعة کلّهم مهملین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المراد من الشیء هو الشیء المجهول، وذلک بقرینة الجواب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الروایة تدلّ علی جریان القرعة فی کلّ مجهول، ولا تختصّ بالموضوعات فقط، کما أ نّها لا تختصّ بباب المرافعات والدعاوی، و أیضاً یستفاد منها جریان القرعة حتّی فیما لم یکن له واقع معیّن؛ فإنّ التعبیر العام؛ أی کلّ مجهول، شامل لما إذا کان مجهولاً بحسب الواقع ولا یختصّ بالجهل الظاهری فقط نعم، هنا کلام فی أنّ المجهول الواقعی هل هو موجود فی الشریعة أم لا؟ وسیأتی</w:t>
      </w:r>
      <w:r>
        <w:rPr>
          <w:rStyle w:val="FootnoteAnchor"/>
          <w:rtl w:val="true"/>
        </w:rPr>
        <w:footnoteReference w:id="69"/>
      </w:r>
      <w:r>
        <w:rPr>
          <w:rFonts w:ascii="IRNazanin" w:hAnsi="IRNazanin" w:eastAsia="IRNazanin"/>
          <w:color w:val="111111"/>
          <w:sz w:val="28"/>
          <w:sz w:val="28"/>
          <w:szCs w:val="28"/>
          <w:rtl w:val="true"/>
          <w:lang w:bidi="fa-IR"/>
        </w:rPr>
        <w:t>التحقیق فیه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الحدیث الثامن عشر المروی فی الوسائل</w:t>
      </w:r>
      <w:r>
        <w:rPr>
          <w:rStyle w:val="FootnoteAnchor"/>
          <w:rtl w:val="true"/>
        </w:rPr>
        <w:footnoteReference w:id="70"/>
      </w:r>
      <w:r>
        <w:rPr>
          <w:rFonts w:ascii="IRNazanin" w:hAnsi="IRNazanin" w:eastAsia="IRNazanin"/>
          <w:color w:val="111111"/>
          <w:sz w:val="28"/>
          <w:sz w:val="28"/>
          <w:szCs w:val="28"/>
          <w:rtl w:val="true"/>
          <w:lang w:bidi="fa-IR"/>
        </w:rPr>
        <w:t>یکون نفس هذا الحدیث، ولیس فی البین تعدّد؛ فإنّ الاتّحاد فی المضمون والمروی عنه یوجب الاطمئنان بوحدة الروایة، فتدبّر</w:t>
      </w:r>
      <w:r>
        <w:rPr>
          <w:rFonts w:eastAsia="IRNazanin" w:cs="IRNazanin"/>
          <w:color w:val="111111"/>
          <w:sz w:val="28"/>
          <w:szCs w:val="28"/>
          <w:rtl w:val="true"/>
          <w:lang w:bidi="fa-IR"/>
        </w:rPr>
        <w:t>.</w:t>
      </w:r>
      <w:bookmarkStart w:id="123" w:name="pg5448_41231"/>
    </w:p>
    <w:p>
      <w:pPr>
        <w:pStyle w:val="Heading6"/>
        <w:numPr>
          <w:ilvl w:val="5"/>
          <w:numId w:val="1"/>
        </w:numPr>
        <w:rPr/>
      </w:pPr>
      <w:bookmarkStart w:id="124" w:name="__RefHeading___Toc1920244_581953129"/>
      <w:bookmarkStart w:id="125" w:name="_Toc51"/>
      <w:bookmarkEnd w:id="123"/>
      <w:bookmarkEnd w:id="124"/>
      <w:r>
        <w:rPr>
          <w:rtl w:val="true"/>
        </w:rPr>
        <w:t xml:space="preserve">هل ورد فی هذه الروایات تعبیر </w:t>
      </w:r>
      <w:r>
        <w:rPr>
          <w:rtl w:val="true"/>
        </w:rPr>
        <w:t>«</w:t>
      </w:r>
      <w:r>
        <w:rPr>
          <w:rtl w:val="true"/>
        </w:rPr>
        <w:t>أمر مشکل أو مشتبه</w:t>
      </w:r>
      <w:r>
        <w:rPr>
          <w:rtl w:val="true"/>
        </w:rPr>
        <w:t xml:space="preserve">» </w:t>
      </w:r>
      <w:r>
        <w:rPr>
          <w:rtl w:val="true"/>
        </w:rPr>
        <w:t xml:space="preserve">أو التعبیر منحصر ب </w:t>
      </w:r>
      <w:r>
        <w:rPr>
          <w:rtl w:val="true"/>
        </w:rPr>
        <w:t>«</w:t>
      </w:r>
      <w:r>
        <w:rPr>
          <w:rtl w:val="true"/>
        </w:rPr>
        <w:t>المجهول</w:t>
      </w:r>
      <w:r>
        <w:rPr>
          <w:rtl w:val="true"/>
        </w:rPr>
        <w:t>»</w:t>
      </w:r>
      <w:r>
        <w:rPr>
          <w:rtl w:val="true"/>
        </w:rPr>
        <w:t>؟</w:t>
      </w:r>
      <w:bookmarkEnd w:id="125"/>
    </w:p>
    <w:p>
      <w:pPr>
        <w:pStyle w:val="BookText"/>
        <w:rPr/>
      </w:pPr>
      <w:r>
        <w:rPr>
          <w:rFonts w:ascii="IRNazanin" w:hAnsi="IRNazanin" w:eastAsia="IRNazanin"/>
          <w:color w:val="111111"/>
          <w:sz w:val="28"/>
          <w:sz w:val="28"/>
          <w:szCs w:val="28"/>
          <w:rtl w:val="true"/>
          <w:lang w:bidi="fa-IR"/>
        </w:rPr>
        <w:t>فثبت أنّ کلّ ما هو مجهول تجری فیه القرعة، وهنا سؤال؛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هل التعبیر العام غیر ذاک التعبیر موجود فی سائر الروایات أم لا؟</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التعبیر بأنّ القرعة لکلّ أمرٍ مشکل أو مشتبه ورد فی سائر الروایات أم لا، بل التعبیر الواحد الوارد هو التعبیر بالمجهول؟</w:t>
      </w:r>
    </w:p>
    <w:p>
      <w:pPr>
        <w:pStyle w:val="BookText"/>
        <w:rPr/>
      </w:pPr>
      <w:r>
        <w:rPr>
          <w:rFonts w:ascii="IRNazanin" w:hAnsi="IRNazanin" w:eastAsia="IRNazanin"/>
          <w:color w:val="111111"/>
          <w:sz w:val="28"/>
          <w:sz w:val="28"/>
          <w:szCs w:val="28"/>
          <w:rtl w:val="true"/>
          <w:lang w:bidi="fa-IR"/>
        </w:rPr>
        <w:t>قد صرّح السیّد الإمام الخمینی قدس سره فی استصحابه</w:t>
      </w:r>
      <w:r>
        <w:rPr>
          <w:rStyle w:val="FootnoteAnchor"/>
          <w:rtl w:val="true"/>
        </w:rPr>
        <w:footnoteReference w:id="71"/>
      </w:r>
      <w:r>
        <w:rPr>
          <w:rFonts w:ascii="IRNazanin" w:hAnsi="IRNazanin" w:eastAsia="IRNazanin"/>
          <w:color w:val="111111"/>
          <w:sz w:val="28"/>
          <w:sz w:val="28"/>
          <w:szCs w:val="28"/>
          <w:rtl w:val="true"/>
          <w:lang w:bidi="fa-IR"/>
        </w:rPr>
        <w:t>، وتبعه والدنا المحقّق فی قواعده</w:t>
      </w:r>
      <w:r>
        <w:rPr>
          <w:rStyle w:val="FootnoteAnchor"/>
          <w:rtl w:val="true"/>
        </w:rPr>
        <w:footnoteReference w:id="72"/>
      </w:r>
      <w:r>
        <w:rPr>
          <w:rFonts w:ascii="IRNazanin" w:hAnsi="IRNazanin" w:eastAsia="IRNazanin"/>
          <w:color w:val="111111"/>
          <w:sz w:val="28"/>
          <w:sz w:val="28"/>
          <w:szCs w:val="28"/>
          <w:rtl w:val="true"/>
          <w:lang w:bidi="fa-IR"/>
        </w:rPr>
        <w:t>؛ بأ نّه لیس فی طرقنا ما یستفاد منه العموم غیرها، انتهی کلامه</w:t>
      </w:r>
      <w:r>
        <w:rPr>
          <w:rFonts w:eastAsia="IRNazanin" w:cs="IRNazanin"/>
          <w:color w:val="111111"/>
          <w:sz w:val="28"/>
          <w:szCs w:val="28"/>
          <w:rtl w:val="true"/>
          <w:lang w:bidi="fa-IR"/>
        </w:rPr>
        <w:t>.</w:t>
      </w:r>
    </w:p>
    <w:p>
      <w:pPr>
        <w:pStyle w:val="Heading6"/>
        <w:numPr>
          <w:ilvl w:val="5"/>
          <w:numId w:val="1"/>
        </w:numPr>
        <w:rPr/>
      </w:pPr>
      <w:bookmarkStart w:id="126" w:name="__RefHeading___Toc1920246_581953129"/>
      <w:bookmarkStart w:id="127" w:name="_Toc52"/>
      <w:bookmarkEnd w:id="126"/>
      <w:r>
        <w:rPr>
          <w:rtl w:val="true"/>
        </w:rPr>
        <w:t xml:space="preserve">عبارات الاصحاب المشتملة علی تعبیر </w:t>
      </w:r>
      <w:r>
        <w:rPr>
          <w:rtl w:val="true"/>
        </w:rPr>
        <w:t>«</w:t>
      </w:r>
      <w:r>
        <w:rPr>
          <w:rtl w:val="true"/>
        </w:rPr>
        <w:t>أمر مشکل أو مشتبه</w:t>
      </w:r>
      <w:r>
        <w:rPr>
          <w:rtl w:val="true"/>
        </w:rPr>
        <w:t>»</w:t>
      </w:r>
      <w:bookmarkEnd w:id="127"/>
    </w:p>
    <w:p>
      <w:pPr>
        <w:pStyle w:val="BookText"/>
        <w:rPr/>
      </w:pPr>
      <w:r>
        <w:rPr>
          <w:rFonts w:ascii="IRNazanin" w:hAnsi="IRNazanin" w:eastAsia="IRNazanin"/>
          <w:color w:val="111111"/>
          <w:sz w:val="28"/>
          <w:sz w:val="28"/>
          <w:szCs w:val="28"/>
          <w:rtl w:val="true"/>
          <w:lang w:bidi="fa-IR"/>
        </w:rPr>
        <w:t>والمفهوم من ذلک أنّ التعبیر بالمشکل أو المشتبه قد ورد عن طرق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 نّه إذا راجعنا المتون الفقهیّة نجد کثیراً منهم قد صرّحوا بوجود هذا النصّ بهذا التعبیر، وإلیک بعض العبارات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صرّح الشیخ الطوسی فی الخلاف بوجود إجماع الفرقة علی أنّ کلّ أمر مشکل أو مُبهَم ففیه القرعة</w:t>
      </w:r>
      <w:r>
        <w:rPr>
          <w:rStyle w:val="FootnoteAnchor"/>
          <w:rtl w:val="true"/>
        </w:rPr>
        <w:footnoteReference w:id="7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 ادّعاء الإجماع مبنیّ علی وجود النصّ المعتبر بینهم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یقرع بینهما، لأنّ القرعة تستعمل فی کلّ أمرٍ مشکل</w:t>
      </w:r>
      <w:r>
        <w:rPr>
          <w:rStyle w:val="FootnoteAnchor"/>
          <w:rtl w:val="true"/>
        </w:rPr>
        <w:footnoteReference w:id="74"/>
      </w:r>
      <w:r>
        <w:rPr>
          <w:rFonts w:ascii="IRNazanin" w:hAnsi="IRNazanin" w:eastAsia="IRNazanin"/>
          <w:color w:val="111111"/>
          <w:sz w:val="28"/>
          <w:sz w:val="28"/>
          <w:szCs w:val="28"/>
          <w:rtl w:val="true"/>
          <w:lang w:bidi="fa-IR"/>
        </w:rPr>
        <w:t>، وقال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أمر مشکل مجهول یشتبه الحکم فیه</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جواهر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القرعة تستعمل عندنا فی کلّ أمر مشکل</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برّاج فی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أمر مشکل فاستعمال القرعة فیه واجب</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المؤتلف من المختلف بین أ ئمّة السلف</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لإجماع الفرقة علی أنّ کلّ أمر مشکل ففیه القرعة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مذهب أصحابنا فی هذه المسألة، فمعروف إذا تقابل البیّنتان ولم یترجّح إحداهما علی الأُخری بوجه من الوجوه وأشکل الأمر؛ فإنّهم یرجعون إلی القرعة؛ لأنّ أخبارهم ناطقة متظافرة متواترة فی أنّ کلّ أمر مشکل فیه القرعة، وهم مجمعون علی ذلک، وهذا أمرٌ مشکل لم یرد فیه النصّ، فهو داخل فی عموم قولهم علیهم السلام</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أمر مشکل مجهول یشتبه الحکم فیه، فینبغی أن یستعمل فیه القرعة؛ لما روی عن الأئمّة الأطهار علیهم السلام، وتواترت به الآثار، وأجمعت علیه الشیعة الإمامیّة</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احتمل القرعة؛ لأنّه أمر مشکل، وکلّ أمر مشکل ففیه القرعة</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وعندنا أ نّها تجری فی کلّ أمر مشکل بالنصّ عن الأئمّة علیهم السلام</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علماؤنا عن أهل البیت علیهم السلام کلّ أمر مشکل ففیه القرعة</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السیّد عمید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أمر مشکل ففیه القرعة، علی ما ورد عن أ ئمّة الهدی علیهم السلام</w:t>
      </w:r>
      <w:r>
        <w:rPr>
          <w:rStyle w:val="FootnoteAnchor"/>
          <w:rtl w:val="true"/>
        </w:rPr>
        <w:footnoteReference w:id="84"/>
      </w:r>
      <w:r>
        <w:rPr>
          <w:rFonts w:ascii="IRNazanin" w:hAnsi="IRNazanin" w:eastAsia="IRNazanin"/>
          <w:color w:val="111111"/>
          <w:sz w:val="28"/>
          <w:sz w:val="28"/>
          <w:szCs w:val="28"/>
          <w:rtl w:val="true"/>
          <w:lang w:bidi="fa-IR"/>
        </w:rPr>
        <w:t>، وفی 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ورد به الأثر</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فخر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القرعة أ نّه أمر مشکل، وکلّ أمر مشکل ففیه القرعة بالنص</w:t>
      </w:r>
      <w:r>
        <w:rPr>
          <w:rStyle w:val="FootnoteAnchor"/>
          <w:rtl w:val="true"/>
        </w:rPr>
        <w:footnoteReference w:id="86"/>
      </w:r>
      <w:r>
        <w:rPr>
          <w:rFonts w:ascii="IRNazanin" w:hAnsi="IRNazanin" w:eastAsia="IRNazanin"/>
          <w:color w:val="111111"/>
          <w:sz w:val="28"/>
          <w:sz w:val="28"/>
          <w:szCs w:val="28"/>
          <w:rtl w:val="true"/>
          <w:lang w:bidi="fa-IR"/>
        </w:rPr>
        <w:t>، وفی مورد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أمر مشکل ففیه القرعة للروایة</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الشهید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فیدخل تحت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أمر مشکل فیه القرعة</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الفاضل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أمر مشکل فیه القرعة</w:t>
      </w:r>
      <w:r>
        <w:rPr>
          <w:rFonts w:eastAsia="IRNazanin" w:cs="IRNazanin"/>
          <w:color w:val="111111"/>
          <w:sz w:val="28"/>
          <w:szCs w:val="28"/>
          <w:rtl w:val="true"/>
          <w:lang w:bidi="fa-IR"/>
        </w:rPr>
        <w:t>.</w:t>
      </w:r>
      <w:r>
        <w:rPr>
          <w:rStyle w:val="FootnoteAnchor"/>
          <w:rtl w:val="true"/>
        </w:rPr>
        <w:footnoteReference w:id="8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جمهور الأحسائی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عن أهل البیت علیهم السلام کلّ أمر مشکل فیه القرعة</w:t>
      </w:r>
      <w:r>
        <w:rPr>
          <w:rFonts w:eastAsia="IRNazanin" w:cs="IRNazanin"/>
          <w:color w:val="111111"/>
          <w:sz w:val="28"/>
          <w:szCs w:val="28"/>
          <w:rtl w:val="true"/>
          <w:lang w:bidi="fa-IR"/>
        </w:rPr>
        <w:t xml:space="preserve">. </w:t>
      </w:r>
      <w:r>
        <w:rPr>
          <w:rStyle w:val="FootnoteAnchor"/>
          <w:rtl w:val="true"/>
        </w:rPr>
        <w:footnoteReference w:id="90"/>
      </w:r>
      <w:bookmarkStart w:id="128" w:name="pg5448_41234"/>
    </w:p>
    <w:p>
      <w:pPr>
        <w:pStyle w:val="BookText"/>
        <w:rPr/>
      </w:pPr>
      <w:bookmarkEnd w:id="128"/>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الصحیح عن النبیّ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أمر مشکل القرعة</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المحقّق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تجری فی کلّ أمر مشکل بالنص عن الأئمّة علیهم السلام</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إلی غیر ذلک من العبارات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فأنت تری أنّ هذه الکلمات قد تنادی بأعلی صوتها بورود النصّ الصریح من الأئمّة المعصومین علیهم السلام علی أنّ کلّ أمر مشکل فیه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 نّه بعد المراجعة إلی المنابع الحدیثیّة والمتون الروائیّة، لم نجد نصّاً بهذا التعبیر، لا فی الکتب الأربعة ولا فی غیرها، فکیف أسندوا وصرّحوا بوقوع النصّ بهذا التعبیر؟</w:t>
      </w:r>
    </w:p>
    <w:p>
      <w:pPr>
        <w:pStyle w:val="Heading6"/>
        <w:numPr>
          <w:ilvl w:val="5"/>
          <w:numId w:val="1"/>
        </w:numPr>
        <w:rPr/>
      </w:pPr>
      <w:bookmarkStart w:id="129" w:name="__RefHeading___Toc1920248_581953129"/>
      <w:bookmarkStart w:id="130" w:name="_Toc53"/>
      <w:bookmarkEnd w:id="129"/>
      <w:r>
        <w:rPr>
          <w:rtl w:val="true"/>
        </w:rPr>
        <w:t xml:space="preserve">توجیه اشتمال عبارات الاصحاب علی تعبیر </w:t>
      </w:r>
      <w:r>
        <w:rPr>
          <w:rtl w:val="true"/>
        </w:rPr>
        <w:t>«</w:t>
      </w:r>
      <w:r>
        <w:rPr>
          <w:rtl w:val="true"/>
        </w:rPr>
        <w:t>أمر مشکل أو مشتبه</w:t>
      </w:r>
      <w:r>
        <w:rPr>
          <w:rtl w:val="true"/>
        </w:rPr>
        <w:t xml:space="preserve">» </w:t>
      </w:r>
      <w:r>
        <w:rPr>
          <w:rtl w:val="true"/>
        </w:rPr>
        <w:t>مع عدم کون هذا التعبیر فی الروایات</w:t>
      </w:r>
      <w:bookmarkEnd w:id="130"/>
    </w:p>
    <w:p>
      <w:pPr>
        <w:pStyle w:val="BookText"/>
        <w:rPr/>
      </w:pPr>
      <w:r>
        <w:rPr>
          <w:rFonts w:ascii="IRNazanin" w:hAnsi="IRNazanin" w:eastAsia="IRNazanin"/>
          <w:color w:val="111111"/>
          <w:sz w:val="28"/>
          <w:sz w:val="28"/>
          <w:szCs w:val="28"/>
          <w:rtl w:val="true"/>
          <w:lang w:bidi="fa-IR"/>
        </w:rPr>
        <w:t>ویمکن أن یجاب بجوابین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اصطادوا هذا التعبیر العام من الروایات المتکثّرة المتعدّدة فی القرعة، فهم یعلمون بعدم وجود هذا التعبیر فی النصوص، ولکن فهموا من الروایات عنوان المشکل، سیّما أ نّه یستشمّ من کلماتهم أ نّهم فی قبال العامّة صرّحوا بذلک، وذکروا موضع أهل البیت علیهم السلام، وکشفوا عن مرامهم ومقصودهم، فإنّهم علیهم السلام قد وسّعوا فی أمر القرعة وتوسّعوا فیها، حتّی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تجری فی کلّ أمر مشکل، ولا اختصاص لها بموارد محدودة مخصوصة، کما ذهبت إلیه جمع من</w:t>
      </w:r>
      <w:bookmarkStart w:id="131" w:name="pg5448_41235"/>
    </w:p>
    <w:p>
      <w:pPr>
        <w:pStyle w:val="BookText"/>
        <w:rPr/>
      </w:pPr>
      <w:bookmarkEnd w:id="131"/>
      <w:r>
        <w:rPr>
          <w:rFonts w:ascii="Amiri" w:hAnsi="Amiri" w:eastAsia="Amiri" w:cs="Amiri"/>
          <w:color w:val="111111"/>
          <w:sz w:val="28"/>
          <w:sz w:val="28"/>
          <w:szCs w:val="28"/>
          <w:rtl w:val="true"/>
          <w:lang w:bidi="ar-SA"/>
        </w:rPr>
        <w:t>العامّة</w:t>
      </w:r>
      <w:r>
        <w:rPr>
          <w:rStyle w:val="FootnoteAnchor"/>
          <w:rtl w:val="true"/>
        </w:rPr>
        <w:footnoteReference w:id="93"/>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أن یکون هذا التعبیر موجوداً فی الأُصول الأربعمائة ولم یأت فی کتب الأربعة؛ فإنّه کم من حدیث کان موجوداً فیها ولم ینقل ولم یذکر فی الکتب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جواب ثالث؛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نّهم لمّا رأوا أنّ التعبیر بالمجهول ربما لا یناسب ولا یلائم الضوابط المسلّمة التی تدلّ علی أ نّه ما من واقعة إلّا ولها حکم ولا مجهول بحسب الواقع، فلا محالة یکون المراد الجهل بحسب الظاهر، ولیس هذا إلّاالمشکل، فالتعبیر به لا یکون إلّاللدلالة علی أنّ المراد بالمجهول هو المشکل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الروایة الأُولی</w:t>
      </w:r>
      <w:r>
        <w:rPr>
          <w:rFonts w:eastAsia="IRNazanin" w:cs="IRNazanin"/>
          <w:color w:val="111111"/>
          <w:sz w:val="28"/>
          <w:szCs w:val="28"/>
          <w:rtl w:val="true"/>
          <w:lang w:bidi="fa-IR"/>
        </w:rPr>
        <w:t>.</w:t>
      </w:r>
    </w:p>
    <w:p>
      <w:pPr>
        <w:pStyle w:val="Heading6"/>
        <w:numPr>
          <w:ilvl w:val="5"/>
          <w:numId w:val="1"/>
        </w:numPr>
        <w:rPr/>
      </w:pPr>
      <w:bookmarkStart w:id="132" w:name="__RefHeading___Toc1920250_581953129"/>
      <w:bookmarkStart w:id="133" w:name="_Toc54"/>
      <w:bookmarkEnd w:id="132"/>
      <w:r>
        <w:rPr>
          <w:rtl w:val="true"/>
        </w:rPr>
        <w:t>الروایة الثانیة</w:t>
      </w:r>
      <w:r>
        <w:rPr>
          <w:rtl w:val="true"/>
        </w:rPr>
        <w:t xml:space="preserve">: </w:t>
      </w:r>
      <w:r>
        <w:rPr>
          <w:rtl w:val="true"/>
        </w:rPr>
        <w:t>مرسلة عاصم بن حمید</w:t>
      </w:r>
      <w:bookmarkEnd w:id="133"/>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الحسین بن سعید، عن عبد الرحمن بن أبی نجران، عن عاصم بن حُمید، عن بعض أصحابنا، عن أبی جعفر علیه السلام قال</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رسول اللّه صلی الله علیه و آله علیّاً علیه السلام إلی الیمن، فقال له حین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بأعجب ما ورد علیک،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أتانی قوم قد تبایعوا جاریة، فوطأها جمیعهم فی طهر واحد، فولدت غلاماً، فاحتجّوا فیه، کلّهم یدّعیه، فأسهمت بینهم، فجعلته للّذی خرج سهمه، وضمنته نصیبهم،</w:t>
      </w:r>
      <w:bookmarkStart w:id="134" w:name="pg5448_41236"/>
    </w:p>
    <w:p>
      <w:pPr>
        <w:pStyle w:val="BookText"/>
        <w:rPr/>
      </w:pPr>
      <w:bookmarkEnd w:id="134"/>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قوم تنازعوا، ثمّ فوّضوا أمرهم إلی اللّه إلّا خرج سهم المحقّ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رواه الصدوق بإسناده عن عاصم بن حمید، عن أبی بصیر، عن أبی جعفر علیه السلام نحوه، إلّاأ 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قوم تقارعوا</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والسند علی النقل الثانی صحیح لا بحث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دائرة القرعة عامّة ولا یختصّ بباب المنازعات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بناءً علی النقل الأوّل یکون مختصّاً بالمنازعات، ولکن فی هذه المحدودة أیضاً عامّ تجری فی جمیع المنازعات، والعجب من السیّد الإمام الخمینی رضوان اللّه علیه</w:t>
      </w:r>
      <w:r>
        <w:rPr>
          <w:rStyle w:val="FootnoteAnchor"/>
          <w:rtl w:val="true"/>
        </w:rPr>
        <w:footnoteReference w:id="95"/>
      </w:r>
      <w:r>
        <w:rPr>
          <w:rFonts w:ascii="IRNazanin" w:hAnsi="IRNazanin" w:eastAsia="IRNazanin"/>
          <w:color w:val="111111"/>
          <w:sz w:val="28"/>
          <w:sz w:val="28"/>
          <w:szCs w:val="28"/>
          <w:rtl w:val="true"/>
          <w:lang w:bidi="fa-IR"/>
        </w:rPr>
        <w:t>أ نّه ذهب إلی العموم فی الجملة حتّی بناءً علی النقل الثانی، مع أ نّه لا مجال لهذا الأمر، اللّهُمَّ إلّاأن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المحقّ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علی ذلک؛ فإنّه یناسب بالنزاع والمرافعة</w:t>
      </w:r>
      <w:r>
        <w:rPr>
          <w:rFonts w:eastAsia="IRNazanin" w:cs="IRNazanin"/>
          <w:color w:val="111111"/>
          <w:sz w:val="28"/>
          <w:szCs w:val="28"/>
          <w:rtl w:val="true"/>
          <w:lang w:bidi="fa-IR"/>
        </w:rPr>
        <w:t>.</w:t>
      </w:r>
    </w:p>
    <w:p>
      <w:pPr>
        <w:pStyle w:val="Heading6"/>
        <w:numPr>
          <w:ilvl w:val="5"/>
          <w:numId w:val="1"/>
        </w:numPr>
        <w:rPr/>
      </w:pPr>
      <w:bookmarkStart w:id="135" w:name="__RefHeading___Toc1920252_581953129"/>
      <w:bookmarkStart w:id="136" w:name="_Toc55"/>
      <w:bookmarkEnd w:id="135"/>
      <w:r>
        <w:rPr>
          <w:rtl w:val="true"/>
        </w:rPr>
        <w:t>الروایة الثالثة</w:t>
      </w:r>
      <w:r>
        <w:rPr>
          <w:rtl w:val="true"/>
        </w:rPr>
        <w:t xml:space="preserve">: </w:t>
      </w:r>
      <w:r>
        <w:rPr>
          <w:rtl w:val="true"/>
        </w:rPr>
        <w:t>روایة زرارة</w:t>
      </w:r>
      <w:bookmarkEnd w:id="136"/>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عن الحسین بن سعید، عن ابن أبی عمیر، عن جمیل،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الطیّار لزرارة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المساهمة؟ ألیس حقّاً؟ فقال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هی حقّ، فقال الطیّار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قد ورد أ نّه یخرج سهم المحق؟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فتعال حتّی أدّعی أنا وأنت شیئاً، ثمّ نساهم علیه، وننظر هکذا هو؟ فقال له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جاء الحدیث بأ نّه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قوم فوّضوا أمرهم إلی اللّه، ثمّ اقترعوا إلّاخرج سهم المحق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فأمّا علی التجارب</w:t>
      </w:r>
    </w:p>
    <w:p>
      <w:pPr>
        <w:pStyle w:val="BookText"/>
        <w:rPr/>
      </w:pPr>
      <w:r>
        <w:rPr>
          <w:rFonts w:ascii="IRNazanin" w:hAnsi="IRNazanin" w:eastAsia="IRNazanin"/>
          <w:color w:val="111111"/>
          <w:sz w:val="28"/>
          <w:sz w:val="28"/>
          <w:szCs w:val="28"/>
          <w:rtl w:val="true"/>
          <w:lang w:bidi="fa-IR"/>
        </w:rPr>
        <w:t>فلم یوضع علی التجارب، فقال الطیّار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کانا جمیعاً مدّعیین ادّعیا ما لیس لهما، من أین یخرج سهم أحدهما؟ فقال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کذلک جعل معه سهم مبیح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منیح</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فإن کانا ادّعیا ما لیس لهما خرج سهم المبیح</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إشکال من حیث السند إلّاتوهّم أ نّها موقوفة من حیث عدم إسناده إلی الإمام علیه السلام، ولکن الظاهر أنّ الموقوفة منطبقة علی ما إذا کان الراوی بصدد بیان رأیه، وفی الحدیث قد ذکر ما جاء فی الأحادیث ولم یذکر فتوی نفسه، وعلی فرض کونها موقوفة، فلا شکّ فی أنّ الروایة إذا کانت موقوفة علی زرارة فیعمل بها الأصحاب، کما صرّح بذلک الشهید فی الذکری</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ویستفاد منها أنّ القرعة حجّیتها کانت واضحة لدی الأصحاب وحقّاً عندهم، وغیر حجّة عند جمع من العامّة، حتّی صارت موجبة للنفی و الإثبات بین العامّة</w:t>
      </w:r>
      <w:r>
        <w:rPr>
          <w:rStyle w:val="FootnoteAnchor"/>
          <w:rtl w:val="true"/>
        </w:rPr>
        <w:footnoteReference w:id="99"/>
      </w:r>
      <w:r>
        <w:rPr>
          <w:rFonts w:ascii="IRNazanin" w:hAnsi="IRNazanin" w:eastAsia="IRNazanin"/>
          <w:color w:val="111111"/>
          <w:sz w:val="28"/>
          <w:sz w:val="28"/>
          <w:szCs w:val="28"/>
          <w:rtl w:val="true"/>
          <w:lang w:bidi="fa-IR"/>
        </w:rPr>
        <w:t>والخاصّة، وصارت أیضاً موجبة للتردید عند</w:t>
      </w:r>
      <w:bookmarkStart w:id="137" w:name="pg5448_41238"/>
    </w:p>
    <w:p>
      <w:pPr>
        <w:pStyle w:val="BookText"/>
        <w:rPr/>
      </w:pPr>
      <w:bookmarkEnd w:id="137"/>
      <w:r>
        <w:rPr>
          <w:rFonts w:ascii="IRNazanin" w:hAnsi="IRNazanin" w:eastAsia="IRNazanin"/>
          <w:color w:val="111111"/>
          <w:sz w:val="28"/>
          <w:sz w:val="28"/>
          <w:szCs w:val="28"/>
          <w:rtl w:val="true"/>
          <w:lang w:bidi="fa-IR"/>
        </w:rPr>
        <w:t>بعض الأصحاب</w:t>
      </w:r>
      <w:r>
        <w:rPr>
          <w:rStyle w:val="FootnoteAnchor"/>
          <w:rtl w:val="true"/>
        </w:rPr>
        <w:footnoteReference w:id="100"/>
      </w:r>
      <w:r>
        <w:rPr>
          <w:rFonts w:ascii="IRNazanin" w:hAnsi="IRNazanin" w:eastAsia="IRNazanin"/>
          <w:color w:val="111111"/>
          <w:sz w:val="28"/>
          <w:sz w:val="28"/>
          <w:szCs w:val="28"/>
          <w:rtl w:val="true"/>
          <w:lang w:bidi="fa-IR"/>
        </w:rPr>
        <w:t>وکیف کان، فالروایة عامّة شاملة لجمیع الموارد المشکلة التی یفوّض أمرها إلی اللّه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منها أیضاً کاشفیّة القرعة عن الواقع وعدم خطئها، کما هو واضح</w:t>
      </w:r>
      <w:r>
        <w:rPr>
          <w:rFonts w:eastAsia="IRNazanin" w:cs="IRNazanin"/>
          <w:color w:val="111111"/>
          <w:sz w:val="28"/>
          <w:szCs w:val="28"/>
          <w:rtl w:val="true"/>
          <w:lang w:bidi="fa-IR"/>
        </w:rPr>
        <w:t>.</w:t>
      </w:r>
    </w:p>
    <w:p>
      <w:pPr>
        <w:pStyle w:val="Heading6"/>
        <w:numPr>
          <w:ilvl w:val="5"/>
          <w:numId w:val="1"/>
        </w:numPr>
        <w:rPr/>
      </w:pPr>
      <w:bookmarkStart w:id="138" w:name="__RefHeading___Toc1920254_581953129"/>
      <w:bookmarkStart w:id="139" w:name="_Toc56"/>
      <w:bookmarkEnd w:id="138"/>
      <w:r>
        <w:rPr>
          <w:rtl w:val="true"/>
        </w:rPr>
        <w:t>الروایة الرابعة</w:t>
      </w:r>
      <w:r>
        <w:rPr>
          <w:rtl w:val="true"/>
        </w:rPr>
        <w:t xml:space="preserve">: </w:t>
      </w:r>
      <w:r>
        <w:rPr>
          <w:rtl w:val="true"/>
        </w:rPr>
        <w:t>صحیحة سیابة و إبراهیم بن عمر</w:t>
      </w:r>
      <w:bookmarkEnd w:id="139"/>
    </w:p>
    <w:p>
      <w:pPr>
        <w:pStyle w:val="BookText"/>
        <w:rPr/>
      </w:pP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رواها الشیخ الطوسی بإسناده عن الحسین بن سعید الأهوازی، عن حمّاد ابن عیسی، عن سیابة، و إبراهیم بن عمر جمیعاً، عن أبی عبد اللّه علیه السلام فی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مملوک أملکه فهو حُرّ، فورث ثلاثة،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یقرع بینهم، فمن أصابته القرعة أُعتِق،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القرعة سُنّة</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والروایة صحیحة، ولا یضرّ مجهولیّة سیابة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شخصاً نذر لعتق أوّل مملوک یملکه، فمات أبوه وورث ثلاثة من العبید، فأجاب الإمام علیه السلام بالإقراع بینهم، فمن أصابته القرعة فهو یُعتَق، ثمّ قال علیه السلام علی نحو الضابطة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القرعة سُنّة یعمل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من التنبیه علی أمرین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جمع إلی وجود الفرق بین أن ینذر أنّ أوّل ما أملکه فهو المعتق وبین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مملوک أملکه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وبیان الفرق أ نّه علی الأوّل إذا ورث ثلاثة مثلاً یجب عتق جمیعهم؛ لأنّ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أداة العموم،</w:t>
      </w:r>
    </w:p>
    <w:p>
      <w:pPr>
        <w:pStyle w:val="BookText"/>
        <w:rPr/>
      </w:pPr>
      <w:r>
        <w:rPr>
          <w:rFonts w:ascii="IRNazanin" w:hAnsi="IRNazanin" w:eastAsia="IRNazanin"/>
          <w:color w:val="111111"/>
          <w:sz w:val="28"/>
          <w:sz w:val="28"/>
          <w:szCs w:val="28"/>
          <w:rtl w:val="true"/>
          <w:lang w:bidi="fa-IR"/>
        </w:rPr>
        <w:t>ولکن علی الثانی یقرع ویعتق واحد منها؛ لأنّ المملوک نکرة فی سیاق الإثبات لا النفی، وهو لا یفید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ما فیه؛ فإنّه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أداة العموم، بل هی من ألفاظ الموصول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جهة تبعیّة العقود للقصود، أنّ المقصود فی کلیهما واحد، والمراد عتق واحد من العبید فی کلا الموردین، و اللّازم تبعیّة هذا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یستفاد من الحدیث جریان القرعة حتّی فیما لو کان مجهولاً بحسب الواقع ونفس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یذهب علیک أنّ السُنّة لیست المراد منها الاستحباب فی قبال الوجوب، کما أ نّه لیس المراد منها الواجب الذی یستفاد وجوبه من غیر القرآن کما فی بعض الروایات التی ورد فی صلاة العیدین وفی غسل المیّت، کما صرّح به فی صحیحة عبد الرحمن بن أبی نجران أنه سأل أبا الحسن موسی بن جعفر علیهما السلام عن ثلاثة نفر کانوا فی سفر، أحدهم جنب، والثانی میّت، والثالث علی غیر وضوء، وحضرت الصلاة ومعهم من الماء قدر ما یکفی أحدهم، من یأخذ الماء، وکیف یصنعون؟ قال</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الجنب، ویدفن المیّت بتیمّم، ویتیمّم الذی هو علی غیر وضوء؛ لأنّ الغسل من الجنابة فریضة، وغسل المیّت سنّة، والتیمّم للآخر جائز</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bookmarkStart w:id="140" w:name="pg5448_41240"/>
    </w:p>
    <w:p>
      <w:pPr>
        <w:pStyle w:val="BookText"/>
        <w:rPr/>
      </w:pPr>
      <w:bookmarkEnd w:id="140"/>
      <w:r>
        <w:rPr>
          <w:rFonts w:ascii="IRNazanin" w:hAnsi="IRNazanin" w:eastAsia="IRNazanin"/>
          <w:color w:val="111111"/>
          <w:sz w:val="28"/>
          <w:sz w:val="28"/>
          <w:szCs w:val="28"/>
          <w:rtl w:val="true"/>
          <w:lang w:bidi="fa-IR"/>
        </w:rPr>
        <w:t>وفی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اجتمعت سّنة وفریضة بدیء بالفرض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المراد منها العمل المتعارف الصادر من الأنبیاء و الأئمّة المعصومین علیهم السلام، ویؤیّد ذلک أ نّه قد ورد فی بعض الروایات؛ ففی تفسیر العیّاشی، عن أبی حمزة الثمالی، عن أبی جعفر علیه السلام فی حدیث یونس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فساهمهم، فوقعت السهام علیه، فجرَت السُنّة</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البیان یظهر فساد ما نقله المجلسی عن والده من أنّ القرعة سُنّة فی هذه المسألة</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لایبعد رجوع هذا المعنی إلی الثانی؛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المساهمه صدرت من الأنبیاء، ولم تکن منصومته فی الکتاب،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القرعة سُنّة عامّة لا اختصاص لها بمورد العتق وغیره، فیکون الحدیث من الأحادیث العامّة الکلّیة علی مشروعیّة القرعة، فتدبّر</w:t>
      </w:r>
      <w:r>
        <w:rPr>
          <w:rFonts w:eastAsia="IRNazanin" w:cs="IRNazanin"/>
          <w:color w:val="111111"/>
          <w:sz w:val="28"/>
          <w:szCs w:val="28"/>
          <w:rtl w:val="true"/>
          <w:lang w:bidi="fa-IR"/>
        </w:rPr>
        <w:t>.</w:t>
      </w:r>
    </w:p>
    <w:p>
      <w:pPr>
        <w:pStyle w:val="Heading6"/>
        <w:numPr>
          <w:ilvl w:val="5"/>
          <w:numId w:val="1"/>
        </w:numPr>
        <w:rPr/>
      </w:pPr>
      <w:bookmarkStart w:id="141" w:name="__RefHeading___Toc1920256_581953129"/>
      <w:bookmarkStart w:id="142" w:name="_Toc57"/>
      <w:bookmarkEnd w:id="141"/>
      <w:r>
        <w:rPr>
          <w:rtl w:val="true"/>
        </w:rPr>
        <w:t>الروایة الخامسة</w:t>
      </w:r>
      <w:r>
        <w:rPr>
          <w:rtl w:val="true"/>
        </w:rPr>
        <w:t xml:space="preserve">: </w:t>
      </w:r>
      <w:r>
        <w:rPr>
          <w:rtl w:val="true"/>
        </w:rPr>
        <w:t>مرسلة ثعلبة</w:t>
      </w:r>
      <w:bookmarkEnd w:id="142"/>
    </w:p>
    <w:p>
      <w:pPr>
        <w:pStyle w:val="BookText"/>
        <w:rPr/>
      </w:pPr>
      <w:r>
        <w:rPr>
          <w:rFonts w:ascii="IRNazanin" w:hAnsi="IRNazanin" w:eastAsia="IRNazanin"/>
          <w:color w:val="111111"/>
          <w:sz w:val="28"/>
          <w:sz w:val="28"/>
          <w:szCs w:val="28"/>
          <w:rtl w:val="true"/>
          <w:lang w:bidi="fa-IR"/>
        </w:rPr>
        <w:t>الروایة الخامسة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التی رواها فی الکافی عن محمّد بن یحیی، 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مردّد بین أحمد بن محمّد بن عیسی الأشعری القمّی، وأحمد بن محمّد بن خالد البرقی، وکلاهما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فضّال والحجّال عن ثعلبة بن</w:t>
      </w:r>
    </w:p>
    <w:p>
      <w:pPr>
        <w:pStyle w:val="BookText"/>
        <w:rPr/>
      </w:pPr>
      <w:r>
        <w:rPr>
          <w:rFonts w:ascii="IRNazanin" w:hAnsi="IRNazanin" w:eastAsia="IRNazanin"/>
          <w:color w:val="111111"/>
          <w:sz w:val="28"/>
          <w:sz w:val="28"/>
          <w:szCs w:val="28"/>
          <w:rtl w:val="true"/>
          <w:lang w:bidi="fa-IR"/>
        </w:rPr>
        <w:t>میمون، عن بعض أصحابنا،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مولود لیس بذکر ولا أُنثی، لیس له إلّادبر، کیف یورّث؟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یجلس الإمام، ویجلس عنده ناس من المسلمین، فیدعون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وتجال السهام علیه علی أیّ میراث یورّثه، أمیراث الذکر أو میراث الاُنثی، فأیّ ذلک خرج علیه ورّثه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 قضیّة أعدل من قضیّة تجال علیها السهام، یقول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فَساهَمَ فَکانَ مِنَ الْمُدْحَضِینَ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أمر یختلف فیه</w:t>
      </w:r>
    </w:p>
    <w:p>
      <w:pPr>
        <w:pStyle w:val="BookText"/>
        <w:rPr/>
      </w:pPr>
      <w:r>
        <w:rPr>
          <w:rFonts w:ascii="IRNazanin" w:hAnsi="IRNazanin" w:eastAsia="IRNazanin"/>
          <w:color w:val="111111"/>
          <w:sz w:val="28"/>
          <w:sz w:val="28"/>
          <w:szCs w:val="28"/>
          <w:rtl w:val="true"/>
          <w:lang w:bidi="fa-IR"/>
        </w:rPr>
        <w:t xml:space="preserve">اثنان إلّاوله أصل فی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لا تبلغه عقول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فی التهذیب بإسناده عن أحمد بن محمّد، عن ابن فضّال والحجّال، عن ثعلبة، عن بعض أصحابنا، عن أبی عبد اللّه علیه السلام</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والروایة فی کلا الطریقین مرسلة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والشاهد فی ذلک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قضیّة أعدل من قضیّة یجال علیها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والمراد من الإجالة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الإقراع، وهذا التعبیر عنوان کلّی لا اختصاص له بباب الخُنثی والإرث، بل یستفاد منها أنّ القرعة موجبة لإجراء العدالة، ومطابقة للواقع؛ فإنّ العدالة عبارة عن وضع الشیء فی محلّه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التعبیر بالأصل بالنسبة إلی القرعة أقوی شاهد علی هذه الدعوی؛ فإنّ الأصل عبارة عن الأمر الذی یکون بمثابة</w:t>
      </w:r>
      <w:bookmarkStart w:id="143" w:name="pg5448_41242"/>
    </w:p>
    <w:p>
      <w:pPr>
        <w:pStyle w:val="BookText"/>
        <w:rPr/>
      </w:pPr>
      <w:bookmarkEnd w:id="143"/>
      <w:r>
        <w:rPr>
          <w:rFonts w:ascii="IRNazanin" w:hAnsi="IRNazanin" w:eastAsia="IRNazanin"/>
          <w:color w:val="111111"/>
          <w:sz w:val="28"/>
          <w:sz w:val="28"/>
          <w:szCs w:val="28"/>
          <w:rtl w:val="true"/>
          <w:lang w:bidi="fa-IR"/>
        </w:rPr>
        <w:t>القاعدة الکلّیة،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ومثلها موثّقة ابن مسکان؛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عن أیّوب بن نوح، عن صفوان بن یحیی، عن عبد اللّه بن مسکان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وأنا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ینقل فیها ما فی ذیل روایة ثعلبة؛ من أ نّه ما من أمر یُختلف فیه إلخ، فراجع</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4" w:name="__RefHeading___Toc1920258_581953129"/>
      <w:bookmarkStart w:id="145" w:name="_Toc58"/>
      <w:bookmarkEnd w:id="144"/>
      <w:r>
        <w:rPr>
          <w:rtl w:val="true"/>
        </w:rPr>
        <w:t>الروایة السادسة</w:t>
      </w:r>
      <w:r>
        <w:rPr>
          <w:rtl w:val="true"/>
        </w:rPr>
        <w:t xml:space="preserve">: </w:t>
      </w:r>
      <w:r>
        <w:rPr>
          <w:rtl w:val="true"/>
        </w:rPr>
        <w:t>روایة عباس بن هلال</w:t>
      </w:r>
      <w:bookmarkEnd w:id="145"/>
    </w:p>
    <w:p>
      <w:pPr>
        <w:pStyle w:val="BookText"/>
        <w:rPr/>
      </w:pPr>
      <w:r>
        <w:rPr>
          <w:rFonts w:ascii="IRNazanin" w:hAnsi="IRNazanin" w:eastAsia="IRNazanin"/>
          <w:color w:val="111111"/>
          <w:sz w:val="28"/>
          <w:sz w:val="28"/>
          <w:szCs w:val="28"/>
          <w:rtl w:val="true"/>
          <w:lang w:bidi="fa-IR"/>
        </w:rPr>
        <w:t>الروایة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ما رواها علیّ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 بن علیّ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الولید، عن العبّاس بن هلال،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 ابن أبی لیلی وابن شبرمة دخلا المسجد الحرام، فأتیا محمّد بن علیّ الباقر علیهما السلام، فقال 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تقضیان؟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بکتاب اللّه و السُنّة،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لم تجداه فی الکتاب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نجتهد رأینا،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رأیکما أنتما؟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تقولان فی امرأة وجاریتها کانتا ترضعان صبیّین فی بیت، وسقط علیهما فماتتا وسلم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القافة،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القافة یتجهّم منه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داود مولی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قد بلَغَنی أنّ أمیر المؤمنین علیّاً علیه السلام قال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قوم فوّضوا أمرهم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وألقوا سهامهم إلّاخرج السهم الأصوب، فسکت</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bookmarkStart w:id="146" w:name="pg5448_41243"/>
    </w:p>
    <w:p>
      <w:pPr>
        <w:pStyle w:val="BookText"/>
        <w:rPr/>
      </w:pPr>
      <w:bookmarkEnd w:id="146"/>
      <w:r>
        <w:rPr>
          <w:rFonts w:ascii="IRNazanin" w:hAnsi="IRNazanin" w:eastAsia="IRNazanin"/>
          <w:color w:val="111111"/>
          <w:sz w:val="28"/>
          <w:sz w:val="28"/>
          <w:szCs w:val="28"/>
          <w:rtl w:val="true"/>
          <w:lang w:bidi="fa-IR"/>
        </w:rPr>
        <w:t>والروایة ضعیفة من جهة عبّاس بن هلال الشامی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والقافة جمع القائف؛ وهو الذی یحکم فی النسب بالقیافة</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والسکوت یدلّ علی صحّة ما نقله ابن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الروایة عامّة أیضاً، ولا تختصّ بمورد السؤال، ویصحّ التفویض فی جمیع الأُمور المشکلة، وعلی هذا یمکن التعدّی عن مورد الروایة إلی ما إذا کان الصبیّان حرّین ولم یعلم الاُمّ منهما فیتعیّن بالقرعة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من السیّد الإمام الخمینی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جعلها فی الطائفة الثانیة التی هی عامّة إجمالاً، لا فی جمیع الأبواب</w:t>
      </w:r>
      <w:r>
        <w:rPr>
          <w:rFonts w:eastAsia="IRNazanin" w:cs="IRNazanin"/>
          <w:color w:val="111111"/>
          <w:sz w:val="28"/>
          <w:szCs w:val="28"/>
          <w:rtl w:val="true"/>
          <w:lang w:bidi="fa-IR"/>
        </w:rPr>
        <w:t>.</w:t>
      </w:r>
      <w:r>
        <w:rPr>
          <w:rStyle w:val="FootnoteAnchor"/>
          <w:rtl w:val="true"/>
        </w:rPr>
        <w:footnoteReference w:id="110"/>
      </w:r>
    </w:p>
    <w:p>
      <w:pPr>
        <w:pStyle w:val="Heading6"/>
        <w:numPr>
          <w:ilvl w:val="5"/>
          <w:numId w:val="1"/>
        </w:numPr>
        <w:rPr/>
      </w:pPr>
      <w:bookmarkStart w:id="147" w:name="__RefHeading___Toc1920260_581953129"/>
      <w:bookmarkStart w:id="148" w:name="_Toc59"/>
      <w:bookmarkEnd w:id="147"/>
      <w:r>
        <w:rPr>
          <w:rtl w:val="true"/>
        </w:rPr>
        <w:t>الروایة السابعة</w:t>
      </w:r>
      <w:r>
        <w:rPr>
          <w:rtl w:val="true"/>
        </w:rPr>
        <w:t xml:space="preserve">: </w:t>
      </w:r>
      <w:r>
        <w:rPr>
          <w:rtl w:val="true"/>
        </w:rPr>
        <w:t>صحیحة منصور بن حازم</w:t>
      </w:r>
      <w:bookmarkEnd w:id="148"/>
    </w:p>
    <w:p>
      <w:pPr>
        <w:pStyle w:val="BookText"/>
        <w:rPr/>
      </w:pPr>
      <w:r>
        <w:rPr>
          <w:rFonts w:ascii="IRNazanin" w:hAnsi="IRNazanin" w:eastAsia="IRNazanin"/>
          <w:color w:val="111111"/>
          <w:sz w:val="28"/>
          <w:sz w:val="28"/>
          <w:szCs w:val="28"/>
          <w:rtl w:val="true"/>
          <w:lang w:bidi="fa-IR"/>
        </w:rPr>
        <w:t>الروایة 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محمّد البرقی فی المحاسن عن ابن محبوب، عن جمیل بن صالح،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بعض أصحابنا أبا عبداللّه علیه السلام عن مسألة؟ فقال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هذه تخرج فی القرعة،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قضیّة أعدل من القرعة إذا فوّض الأمر إلی اللّه عزّ وجلّ ألیس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فَساهَمَ فَکانَ مِنَ الْمُدْحَضِینَ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والروایة معتبرة، صحیحة، والشاهد فیها واضح، والمراد من المسألة</w:t>
      </w:r>
      <w:bookmarkStart w:id="149" w:name="pg5448_41244"/>
    </w:p>
    <w:p>
      <w:pPr>
        <w:pStyle w:val="BookText"/>
        <w:rPr/>
      </w:pPr>
      <w:bookmarkEnd w:id="149"/>
      <w:r>
        <w:rPr>
          <w:rFonts w:ascii="IRNazanin" w:hAnsi="IRNazanin" w:eastAsia="IRNazanin"/>
          <w:color w:val="111111"/>
          <w:sz w:val="28"/>
          <w:sz w:val="28"/>
          <w:szCs w:val="28"/>
          <w:rtl w:val="true"/>
          <w:lang w:bidi="fa-IR"/>
        </w:rPr>
        <w:t>الشیء المجهول أو المشکل، نظیر ما ورد فی روایة محمّد بن حکیم،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نجعل الجواب قرینة علی أنّ المراد بالمسألة هو الأمر المشکل، أو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التعبیر بالمسألة فی اصطلاح العرف العام هو الشیء المشکل، کما هو رائج فی ألسنتنا أیضاً</w:t>
      </w:r>
      <w:r>
        <w:rPr>
          <w:rFonts w:eastAsia="IRNazanin" w:cs="IRNazanin"/>
          <w:color w:val="111111"/>
          <w:sz w:val="28"/>
          <w:szCs w:val="28"/>
          <w:rtl w:val="true"/>
          <w:lang w:bidi="fa-IR"/>
        </w:rPr>
        <w:t>.</w:t>
      </w:r>
    </w:p>
    <w:p>
      <w:pPr>
        <w:pStyle w:val="Heading6"/>
        <w:numPr>
          <w:ilvl w:val="5"/>
          <w:numId w:val="1"/>
        </w:numPr>
        <w:rPr/>
      </w:pPr>
      <w:bookmarkStart w:id="150" w:name="__RefHeading___Toc1920262_581953129"/>
      <w:bookmarkStart w:id="151" w:name="_Toc60"/>
      <w:bookmarkEnd w:id="150"/>
      <w:r>
        <w:rPr>
          <w:rtl w:val="true"/>
        </w:rPr>
        <w:t>الروایة الثامنة</w:t>
      </w:r>
      <w:r>
        <w:rPr>
          <w:rtl w:val="true"/>
        </w:rPr>
        <w:t xml:space="preserve">: </w:t>
      </w:r>
      <w:r>
        <w:rPr>
          <w:rtl w:val="true"/>
        </w:rPr>
        <w:t>روایة فی دعائم الإسلام</w:t>
      </w:r>
      <w:bookmarkEnd w:id="151"/>
    </w:p>
    <w:p>
      <w:pPr>
        <w:pStyle w:val="BookText"/>
        <w:rPr/>
      </w:pPr>
      <w:r>
        <w:rPr>
          <w:rFonts w:ascii="IRNazanin" w:hAnsi="IRNazanin" w:eastAsia="IRNazanin"/>
          <w:color w:val="111111"/>
          <w:sz w:val="28"/>
          <w:sz w:val="28"/>
          <w:szCs w:val="28"/>
          <w:rtl w:val="true"/>
          <w:lang w:bidi="fa-IR"/>
        </w:rPr>
        <w:t>الروایة الثامنة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ذکره فی دعائم الإسلام عن أمیر المؤمنین و أبی جعفر و أبی عبد اللّه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نّهم أوجبوا الحکم بالقرعة فیما أشکل، قال أبو عبد اللّه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وأیّ حکم فی الملتبس أثبت من القرعة؟ ألیس هو التفویض إلی اللّه جلّ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قصّة یونس ومریم و عبد المطّلب</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فهذه الروایة مضافاً إلی دلالتها علی جریان القرعة فی کلّ ملتبس ومشتبه، فقد استدلّ فیها بأنّ حقیقة القرعة عبارة عن التفویض إلی اللّه جلّ ذکره، والإشارة إلی قصّة یونس ومریم وعبد المطّلب من باب أ نّها من مصادیق هذه القاعدة الکلیه، وعلی هذا لا تختصّ بباب دون باب</w:t>
      </w:r>
      <w:r>
        <w:rPr>
          <w:rFonts w:eastAsia="IRNazanin" w:cs="IRNazanin"/>
          <w:color w:val="111111"/>
          <w:sz w:val="28"/>
          <w:szCs w:val="28"/>
          <w:rtl w:val="true"/>
          <w:lang w:bidi="fa-IR"/>
        </w:rPr>
        <w:t>.</w:t>
      </w:r>
    </w:p>
    <w:p>
      <w:pPr>
        <w:pStyle w:val="Heading6"/>
        <w:numPr>
          <w:ilvl w:val="5"/>
          <w:numId w:val="1"/>
        </w:numPr>
        <w:rPr/>
      </w:pPr>
      <w:bookmarkStart w:id="152" w:name="__RefHeading___Toc1920264_581953129"/>
      <w:bookmarkStart w:id="153" w:name="_Toc61"/>
      <w:bookmarkEnd w:id="152"/>
      <w:r>
        <w:rPr>
          <w:rtl w:val="true"/>
        </w:rPr>
        <w:t>الروایة التاسعة</w:t>
      </w:r>
      <w:r>
        <w:rPr>
          <w:rtl w:val="true"/>
        </w:rPr>
        <w:t xml:space="preserve">: </w:t>
      </w:r>
      <w:r>
        <w:rPr>
          <w:rtl w:val="true"/>
        </w:rPr>
        <w:t>روایة عبد الرحیم</w:t>
      </w:r>
      <w:bookmarkEnd w:id="153"/>
    </w:p>
    <w:p>
      <w:pPr>
        <w:pStyle w:val="BookText"/>
        <w:rPr/>
      </w:pPr>
      <w:r>
        <w:rPr>
          <w:rFonts w:ascii="IRNazanin" w:hAnsi="IRNazanin" w:eastAsia="IRNazanin"/>
          <w:color w:val="111111"/>
          <w:sz w:val="28"/>
          <w:sz w:val="28"/>
          <w:szCs w:val="28"/>
          <w:rtl w:val="true"/>
          <w:lang w:bidi="fa-IR"/>
        </w:rPr>
        <w:t>الروایة التاسعة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ذکره المحدّث النوری فی مستدرکه نقلاً عن المفید فی الاختصاص بإسناده عن عبد الرحیم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علیه السلام کان إذا ورد علیه أمر لم یجیء فیه کتاب ولم تجر</w:t>
      </w:r>
      <w:r>
        <w:rPr>
          <w:rStyle w:val="FootnoteAnchor"/>
          <w:rtl w:val="true"/>
        </w:rPr>
        <w:footnoteReference w:id="112"/>
      </w:r>
      <w:r>
        <w:rPr>
          <w:rFonts w:ascii="IRNazanin" w:hAnsi="IRNazanin" w:eastAsia="IRNazanin"/>
          <w:color w:val="111111"/>
          <w:sz w:val="28"/>
          <w:sz w:val="28"/>
          <w:szCs w:val="28"/>
          <w:rtl w:val="true"/>
          <w:lang w:bidi="fa-IR"/>
        </w:rPr>
        <w:t>فیه</w:t>
      </w:r>
      <w:bookmarkStart w:id="154" w:name="pg5448_41245"/>
    </w:p>
    <w:p>
      <w:pPr>
        <w:pStyle w:val="BookText"/>
        <w:rPr/>
      </w:pPr>
      <w:bookmarkEnd w:id="154"/>
      <w:r>
        <w:rPr>
          <w:rFonts w:ascii="IRNazanin" w:hAnsi="IRNazanin" w:eastAsia="IRNazanin"/>
          <w:color w:val="111111"/>
          <w:sz w:val="28"/>
          <w:sz w:val="28"/>
          <w:szCs w:val="28"/>
          <w:rtl w:val="true"/>
          <w:lang w:bidi="fa-IR"/>
        </w:rPr>
        <w:t xml:space="preserve">سنّة، رجم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الرحیم وتلک من المعضلات</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ورد فیها التعبیر بالمعضل بدلاً عن المشتبه والمجهول والملتبس ومن أجل هذا لا یختصّ بباب دون باب، وتجری فی جمیع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المورد مشعر باختصاصه بباب القضاء، ولعلّه من أجل هذا قد جعلها السیّد الإمام الخمینی</w:t>
      </w:r>
      <w:r>
        <w:rPr>
          <w:rStyle w:val="FootnoteAnchor"/>
          <w:rtl w:val="true"/>
        </w:rPr>
        <w:footnoteReference w:id="114"/>
      </w:r>
      <w:r>
        <w:rPr>
          <w:rFonts w:ascii="IRNazanin" w:hAnsi="IRNazanin" w:eastAsia="IRNazanin"/>
          <w:color w:val="111111"/>
          <w:sz w:val="28"/>
          <w:sz w:val="28"/>
          <w:szCs w:val="28"/>
          <w:rtl w:val="true"/>
          <w:lang w:bidi="fa-IR"/>
        </w:rPr>
        <w:t>فی الطائفة الثانیة</w:t>
      </w:r>
      <w:r>
        <w:rPr>
          <w:rFonts w:eastAsia="IRNazanin" w:cs="IRNazanin"/>
          <w:color w:val="111111"/>
          <w:sz w:val="28"/>
          <w:szCs w:val="28"/>
          <w:rtl w:val="true"/>
          <w:lang w:bidi="fa-IR"/>
        </w:rPr>
        <w:t>.</w:t>
      </w:r>
    </w:p>
    <w:p>
      <w:pPr>
        <w:pStyle w:val="Heading6"/>
        <w:numPr>
          <w:ilvl w:val="5"/>
          <w:numId w:val="1"/>
        </w:numPr>
        <w:rPr/>
      </w:pPr>
      <w:bookmarkStart w:id="155" w:name="__RefHeading___Toc1920266_581953129"/>
      <w:bookmarkStart w:id="156" w:name="_Toc62"/>
      <w:bookmarkEnd w:id="155"/>
      <w:r>
        <w:rPr>
          <w:rtl w:val="true"/>
        </w:rPr>
        <w:t>الروایة العاشرة</w:t>
      </w:r>
      <w:r>
        <w:rPr>
          <w:rtl w:val="true"/>
        </w:rPr>
        <w:t xml:space="preserve">: </w:t>
      </w:r>
      <w:r>
        <w:rPr>
          <w:rtl w:val="true"/>
        </w:rPr>
        <w:t>روایة أبی بصیر</w:t>
      </w:r>
      <w:bookmarkEnd w:id="156"/>
    </w:p>
    <w:p>
      <w:pPr>
        <w:pStyle w:val="BookText"/>
        <w:rPr/>
      </w:pPr>
      <w:r>
        <w:rPr>
          <w:rFonts w:ascii="IRNazanin" w:hAnsi="IRNazanin" w:eastAsia="IRNazanin"/>
          <w:color w:val="111111"/>
          <w:sz w:val="28"/>
          <w:sz w:val="28"/>
          <w:szCs w:val="28"/>
          <w:rtl w:val="true"/>
          <w:lang w:bidi="fa-IR"/>
        </w:rPr>
        <w:t>الروایة العاشرة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علیّ بن إبراهیم عن أبیه، عن ابن أبی عمیر، عن علیّ بن أبی حمزة البطائنی، عن أبی بصیر، عن أبی جعفر علیه السلام أ 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علیّ علیه السلام المسجد فاستقبله شابّ وهو یبکی وحوله قوم یُسکتونه، فقال علیّ علیه السلام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یُبکیک؟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شریحاً قضی علیَّ بقضیّة ما أدری ما هی؟ إنّ هؤلاء النفر خرجوا بأبی معهم فی سفر، فرجعوا ولم یرجع أبی، فسألتهم عنه،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فسألتهم عن ماله،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ترک مالاً، فقدّمتهم إلی شریح، فاستحلفهم، وقد 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أبی خرج ومعه مال کثیر، فقال لهم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فردّهم جمیعاً والفتی معهم إلی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بیّنة علی ما تدّعی؟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فاستحلفتهم،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شریح هکذا تحکم فی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w:t>
      </w:r>
    </w:p>
    <w:p>
      <w:pPr>
        <w:pStyle w:val="BookText"/>
        <w:rPr/>
      </w:pPr>
      <w:r>
        <w:rPr>
          <w:rFonts w:ascii="IRNazanin" w:hAnsi="IRNazanin" w:eastAsia="IRNazanin"/>
          <w:color w:val="111111"/>
          <w:sz w:val="28"/>
          <w:sz w:val="28"/>
          <w:szCs w:val="28"/>
          <w:rtl w:val="true"/>
          <w:lang w:bidi="fa-IR"/>
        </w:rPr>
        <w:t xml:space="preserve">الفتی والقوم اختلفوا فی مال أبی الفتی کم کان، فأخذ علیّ علیه السلام خاتمه وجمع خواتیم 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ن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اجیلوا هذه السِّهام، فأیّکم أخرج خاتمی فهو الصادق فی دعواه؛ لأنّه سهم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یخیب</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السند معتبر من حیث أنّ علیّ بن أبی حمزة البطائنی وإن کان من أرکان الواقفیّة إلّاأنّ الروایات المنقولة منه قبل الوقف کانت معتبرة عند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والشاهد ما ذکره علیه السلام فی ذیل الروایة فی مورد الاختلاف فی مقدار المال، فأسهم علیّ علیه السلام وصرّح علی نحو الضابطة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سهم اللّه لا یخیب، وهو ظاهر فی کونها من الأمارات أیضاً، وکاشفة عن الواقع ویصیبه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أن یتوهّم أنّ القضیة المذکورة من القضاء الخاصّ لأمیر المؤمنین علیه السلام وکیفیّة القرعة کانت مختلفة من بقیّة الموارد وعلی هذا لا یصحّ الاستدلال بهذا الحدیث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أنّ الاستدلال انّما هو متمرکز علی استدلاله علیه السلام أعنی التعلیل الوارد فی ذیل الروایة، فتدبّر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هی الروایات العامّة التی قد صرّح فیها بمشروعیّة القرعة علی نحو القاعدة الکلّیة</w:t>
      </w:r>
      <w:r>
        <w:rPr>
          <w:rFonts w:eastAsia="IRNazanin" w:cs="IRNazanin"/>
          <w:color w:val="111111"/>
          <w:sz w:val="28"/>
          <w:szCs w:val="28"/>
          <w:rtl w:val="true"/>
          <w:lang w:bidi="fa-IR"/>
        </w:rPr>
        <w:t>.</w:t>
      </w:r>
      <w:bookmarkStart w:id="157" w:name="pg5448_41247"/>
    </w:p>
    <w:p>
      <w:pPr>
        <w:pStyle w:val="Heading5"/>
        <w:numPr>
          <w:ilvl w:val="4"/>
          <w:numId w:val="1"/>
        </w:numPr>
        <w:rPr/>
      </w:pPr>
      <w:bookmarkStart w:id="158" w:name="__RefHeading___Toc1920268_581953129"/>
      <w:bookmarkStart w:id="159" w:name="_Toc63"/>
      <w:bookmarkEnd w:id="157"/>
      <w:bookmarkEnd w:id="158"/>
      <w:r>
        <w:rPr>
          <w:rtl w:val="true"/>
        </w:rPr>
        <w:t>القسم الثانی</w:t>
      </w:r>
      <w:r>
        <w:rPr>
          <w:rtl w:val="true"/>
        </w:rPr>
        <w:t xml:space="preserve">: </w:t>
      </w:r>
      <w:r>
        <w:rPr>
          <w:rtl w:val="true"/>
        </w:rPr>
        <w:t>الروایات العامة بالنسبة إلی باب خاص، کالقضاء</w:t>
      </w:r>
      <w:r>
        <w:rPr>
          <w:rtl w:val="true"/>
        </w:rPr>
        <w:t xml:space="preserve">. </w:t>
      </w:r>
      <w:r>
        <w:rPr>
          <w:rtl w:val="true"/>
        </w:rPr>
        <w:t>وهی</w:t>
      </w:r>
      <w:r>
        <w:rPr>
          <w:rtl w:val="true"/>
        </w:rPr>
        <w:t>:</w:t>
      </w:r>
      <w:bookmarkEnd w:id="159"/>
    </w:p>
    <w:p>
      <w:pPr>
        <w:pStyle w:val="Heading6"/>
        <w:numPr>
          <w:ilvl w:val="5"/>
          <w:numId w:val="1"/>
        </w:numPr>
        <w:rPr/>
      </w:pPr>
      <w:bookmarkStart w:id="160" w:name="__RefHeading___Toc1920270_581953129"/>
      <w:bookmarkStart w:id="161" w:name="_Toc64"/>
      <w:bookmarkEnd w:id="160"/>
      <w:r>
        <w:rPr>
          <w:rtl w:val="true"/>
        </w:rPr>
        <w:t>اشارة</w:t>
      </w:r>
      <w:bookmarkEnd w:id="161"/>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التی تدلّ علی العموم بنحو الإجمال؛ بمعنی أ نّها قاعدة جاریة فی باب خاصّ؛ کالقضاء، وهی</w:t>
      </w:r>
      <w:r>
        <w:rPr>
          <w:rFonts w:eastAsia="IRNazanin" w:cs="IRNazanin"/>
          <w:color w:val="111111"/>
          <w:sz w:val="28"/>
          <w:szCs w:val="28"/>
          <w:rtl w:val="true"/>
          <w:lang w:bidi="fa-IR"/>
        </w:rPr>
        <w:t>:</w:t>
      </w:r>
    </w:p>
    <w:p>
      <w:pPr>
        <w:pStyle w:val="Heading6"/>
        <w:numPr>
          <w:ilvl w:val="5"/>
          <w:numId w:val="1"/>
        </w:numPr>
        <w:rPr/>
      </w:pPr>
      <w:bookmarkStart w:id="162" w:name="__RefHeading___Toc1920272_581953129"/>
      <w:bookmarkStart w:id="163" w:name="_Toc65"/>
      <w:bookmarkEnd w:id="162"/>
      <w:r>
        <w:rPr/>
        <w:t>1</w:t>
      </w:r>
      <w:r>
        <w:rPr>
          <w:rtl w:val="true"/>
        </w:rPr>
        <w:t xml:space="preserve"> - </w:t>
      </w:r>
      <w:r>
        <w:rPr>
          <w:rtl w:val="true"/>
        </w:rPr>
        <w:t>صحیحة داود بن سرحان</w:t>
      </w:r>
      <w:bookmarkEnd w:id="1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داود بن سرحان،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عن الحسین بن محمّد، عن معلّی، عن الوشاء، عن داود بن سرحان، عن أبی عبد اللّه علیه السلام فی شاهدین شهدا علی أمر واحد، وجاء آخران فشهدا علی غیر الذی شهدا علیه واختلفوا،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یقرع بینهم، فأیّهم قرع علیه الیمین، وهو أولی بالقضاء</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ومعلّی بن محمّد البصری وإن کان مضطرب الحدیث والمذهب عند النجاشی</w:t>
      </w:r>
      <w:r>
        <w:rPr>
          <w:rStyle w:val="FootnoteAnchor"/>
          <w:rtl w:val="true"/>
        </w:rPr>
        <w:footnoteReference w:id="117"/>
      </w:r>
      <w:r>
        <w:rPr>
          <w:rFonts w:ascii="IRNazanin" w:hAnsi="IRNazanin" w:eastAsia="IRNazanin"/>
          <w:color w:val="111111"/>
          <w:sz w:val="28"/>
          <w:sz w:val="28"/>
          <w:szCs w:val="28"/>
          <w:rtl w:val="true"/>
          <w:lang w:bidi="fa-IR"/>
        </w:rPr>
        <w:t>ولکنّه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ظاهرة فی مشروعیّة القرعة فی جمیع موارد تعارض البیّنتین، ولا اختصاص لها بمورد خاصّ</w:t>
      </w:r>
      <w:r>
        <w:rPr>
          <w:rFonts w:eastAsia="IRNazanin" w:cs="IRNazanin"/>
          <w:color w:val="111111"/>
          <w:sz w:val="28"/>
          <w:szCs w:val="28"/>
          <w:rtl w:val="true"/>
          <w:lang w:bidi="fa-IR"/>
        </w:rPr>
        <w:t>.</w:t>
      </w:r>
    </w:p>
    <w:p>
      <w:pPr>
        <w:pStyle w:val="Heading6"/>
        <w:numPr>
          <w:ilvl w:val="5"/>
          <w:numId w:val="1"/>
        </w:numPr>
        <w:rPr/>
      </w:pPr>
      <w:bookmarkStart w:id="164" w:name="__RefHeading___Toc1920274_581953129"/>
      <w:bookmarkStart w:id="165" w:name="_Toc66"/>
      <w:bookmarkEnd w:id="164"/>
      <w:r>
        <w:rPr/>
        <w:t>2</w:t>
      </w:r>
      <w:r>
        <w:rPr>
          <w:rtl w:val="true"/>
        </w:rPr>
        <w:t xml:space="preserve"> - </w:t>
      </w:r>
      <w:r>
        <w:rPr>
          <w:rtl w:val="true"/>
        </w:rPr>
        <w:t>صحیحة الحلبی</w:t>
      </w:r>
      <w:bookmarkEnd w:id="165"/>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الحلبی،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الحسین بن سعید، عن ابن أبی عمیر، عن حمّاد،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رجلین شهدا علی أمر، وجاء آخران فشهدا علی غیر ذلک، فاختلفوا، قال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یقرع بینهم، فأیّهم قرع فعلیه الیمین، وهو أولی بالحقّ</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bookmarkStart w:id="166" w:name="pg5448_41248"/>
    </w:p>
    <w:p>
      <w:pPr>
        <w:pStyle w:val="BookText"/>
        <w:rPr/>
      </w:pPr>
      <w:bookmarkEnd w:id="166"/>
      <w:r>
        <w:rPr>
          <w:rFonts w:ascii="IRNazanin" w:hAnsi="IRNazanin" w:eastAsia="IRNazanin"/>
          <w:color w:val="111111"/>
          <w:sz w:val="28"/>
          <w:sz w:val="28"/>
          <w:szCs w:val="28"/>
          <w:rtl w:val="true"/>
          <w:lang w:bidi="fa-IR"/>
        </w:rPr>
        <w:t>والظاهر اتّحاد الروایتین؛ فإنّ الاتّحاد فی المروی عنه والمضمون قرینة علی اتّحاد الحدیث؛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صدوره مرّتین فی مجلسین، ولا یلزم الاتّحاد فی الراوی أیضاً، کما لا یخفی</w:t>
      </w:r>
      <w:r>
        <w:rPr>
          <w:rFonts w:eastAsia="IRNazanin" w:cs="IRNazanin"/>
          <w:color w:val="111111"/>
          <w:sz w:val="28"/>
          <w:szCs w:val="28"/>
          <w:rtl w:val="true"/>
          <w:lang w:bidi="fa-IR"/>
        </w:rPr>
        <w:t>.</w:t>
      </w:r>
    </w:p>
    <w:p>
      <w:pPr>
        <w:pStyle w:val="Heading6"/>
        <w:numPr>
          <w:ilvl w:val="5"/>
          <w:numId w:val="1"/>
        </w:numPr>
        <w:rPr/>
      </w:pPr>
      <w:bookmarkStart w:id="167" w:name="__RefHeading___Toc1920276_581953129"/>
      <w:bookmarkStart w:id="168" w:name="_Toc67"/>
      <w:bookmarkEnd w:id="167"/>
      <w:r>
        <w:rPr/>
        <w:t>3</w:t>
      </w:r>
      <w:r>
        <w:rPr>
          <w:rtl w:val="true"/>
        </w:rPr>
        <w:t xml:space="preserve"> - </w:t>
      </w:r>
      <w:r>
        <w:rPr>
          <w:rtl w:val="true"/>
        </w:rPr>
        <w:t>صحیحة البصری</w:t>
      </w:r>
      <w:bookmarkEnd w:id="168"/>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البصری،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عن الحسین بن محمّد، عن معلّی بن محمّد، عن الوشاء، عن أبان، عن عبد الرحمن بن عبد اللّه البصری،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علیه السلام إذا أتاه رجلان بشهود عدلهم سواء و عددهم، أقرع بینهم علی أیّهما تصیر الیمین،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ربّ السماوات السبع، أیّهم کان له الحقّ فأدّاه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ثمّ یجعل الحقّ للذی یصیر علیه الیمین إذا حلف</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المستفاد من جمیعها هی مشروعیّة القرعة فی باب القضاء فقط، وتعارض البیّنتین علی نحو الإطلاق، ولا یستفاد منها جریانها فی باب الوصیّة والإرث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صرّح السیّد المحقّق الإمام الخمینی رضی الله عنه بأنّ هذه الطائفة عامّة لکلّ قضیّة فی باب القضایا المشکلة الواردة علی القاضی إذا تعارضت البیّنات ولا یترجّح فیها، أو لم یتهیّأ فیه الإشهاد</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ویستفاد من هذه الروایات أنّ التعارض فی البیّنات لا یوجب</w:t>
      </w:r>
      <w:bookmarkStart w:id="169" w:name="pg5448_41249"/>
    </w:p>
    <w:p>
      <w:pPr>
        <w:pStyle w:val="BookText"/>
        <w:rPr/>
      </w:pPr>
      <w:bookmarkEnd w:id="169"/>
      <w:r>
        <w:rPr>
          <w:rFonts w:ascii="IRNazanin" w:hAnsi="IRNazanin" w:eastAsia="IRNazanin"/>
          <w:color w:val="111111"/>
          <w:sz w:val="28"/>
          <w:sz w:val="28"/>
          <w:szCs w:val="28"/>
          <w:rtl w:val="true"/>
          <w:lang w:bidi="fa-IR"/>
        </w:rPr>
        <w:t>سقوط کلتاهما عن الاعتبار، مع أنّ مقتضی القاعدة سقوطهما عن الحجّیّة والاستناد، کما یعمل بها فی غیر باب القضاء، کالتعارض فی البیّنة علی اجتهاد شخص، أو التعارض فی البیّنتین علی عدالة شخص؛ فإنّه فی جمیع هذه الموارد نقول بسقوطهما عن الاعتبار و الصحّة، فالحکم بالقرعة فی مورد الروایات المذکورة تکون علی خلاف القاعدة، ولا یصحّ التعدّی عنه</w:t>
      </w:r>
      <w:r>
        <w:rPr>
          <w:rFonts w:eastAsia="IRNazanin" w:cs="IRNazanin"/>
          <w:color w:val="111111"/>
          <w:sz w:val="28"/>
          <w:szCs w:val="28"/>
          <w:rtl w:val="true"/>
          <w:lang w:bidi="fa-IR"/>
        </w:rPr>
        <w:t>.</w:t>
      </w:r>
    </w:p>
    <w:p>
      <w:pPr>
        <w:pStyle w:val="Heading5"/>
        <w:numPr>
          <w:ilvl w:val="4"/>
          <w:numId w:val="1"/>
        </w:numPr>
        <w:rPr/>
      </w:pPr>
      <w:bookmarkStart w:id="170" w:name="__RefHeading___Toc1920278_581953129"/>
      <w:bookmarkStart w:id="171" w:name="_Toc68"/>
      <w:bookmarkEnd w:id="170"/>
      <w:r>
        <w:rPr>
          <w:rtl w:val="true"/>
        </w:rPr>
        <w:t>القسم الثالث</w:t>
      </w:r>
      <w:r>
        <w:rPr>
          <w:rtl w:val="true"/>
        </w:rPr>
        <w:t xml:space="preserve">: </w:t>
      </w:r>
      <w:r>
        <w:rPr>
          <w:rtl w:val="true"/>
        </w:rPr>
        <w:t>الروایات الخاصّة، وهی تنقسم إلی عناوین</w:t>
      </w:r>
      <w:bookmarkEnd w:id="171"/>
    </w:p>
    <w:p>
      <w:pPr>
        <w:pStyle w:val="Heading6"/>
        <w:numPr>
          <w:ilvl w:val="5"/>
          <w:numId w:val="1"/>
        </w:numPr>
        <w:rPr/>
      </w:pPr>
      <w:bookmarkStart w:id="172" w:name="__RefHeading___Toc1920280_581953129"/>
      <w:bookmarkStart w:id="173" w:name="_Toc69"/>
      <w:bookmarkEnd w:id="172"/>
      <w:r>
        <w:rPr>
          <w:rtl w:val="true"/>
        </w:rPr>
        <w:t>اشارة</w:t>
      </w:r>
      <w:bookmarkEnd w:id="173"/>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تنقسم إلی عناوین متعدّدة</w:t>
      </w:r>
      <w:r>
        <w:rPr>
          <w:rFonts w:eastAsia="IRNazanin" w:cs="IRNazanin"/>
          <w:color w:val="111111"/>
          <w:sz w:val="28"/>
          <w:szCs w:val="28"/>
          <w:rtl w:val="true"/>
          <w:lang w:bidi="fa-IR"/>
        </w:rPr>
        <w:t>:</w:t>
      </w:r>
    </w:p>
    <w:p>
      <w:pPr>
        <w:pStyle w:val="Heading6"/>
        <w:numPr>
          <w:ilvl w:val="5"/>
          <w:numId w:val="1"/>
        </w:numPr>
        <w:rPr/>
      </w:pPr>
      <w:bookmarkStart w:id="174" w:name="__RefHeading___Toc1920282_581953129"/>
      <w:bookmarkStart w:id="175" w:name="_Toc70"/>
      <w:bookmarkEnd w:id="174"/>
      <w:r>
        <w:rPr>
          <w:rtl w:val="true"/>
        </w:rPr>
        <w:t>العنوان الاوّل</w:t>
      </w:r>
      <w:r>
        <w:rPr>
          <w:rtl w:val="true"/>
        </w:rPr>
        <w:t xml:space="preserve">: </w:t>
      </w:r>
      <w:r>
        <w:rPr>
          <w:rtl w:val="true"/>
        </w:rPr>
        <w:t>ما ورد فی تعارض الشهود فی أمرأة، وفی مقدار الودیعة، وفی الدابّة</w:t>
      </w:r>
      <w:bookmarkEnd w:id="175"/>
    </w:p>
    <w:p>
      <w:pPr>
        <w:pStyle w:val="BookText"/>
        <w:rPr/>
      </w:pPr>
      <w:r>
        <w:rPr>
          <w:rFonts w:ascii="IRNazanin" w:hAnsi="IRNazanin" w:eastAsia="IRNazanin"/>
          <w:color w:val="111111"/>
          <w:sz w:val="28"/>
          <w:sz w:val="28"/>
          <w:szCs w:val="28"/>
          <w:rtl w:val="true"/>
          <w:lang w:bidi="fa-IR"/>
        </w:rPr>
        <w:t>العنوان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تعارض الشهود والبیّنتین فی امرأة، وفی مقدار الودیعة، وفی الدابّة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ورد فی الامرأة، فهی مرسلة داود بن أبی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 عن أبیه، عن ابن فضّال، عن داود بن أبی یزید العطّار، عن بعض رجاله، عن أبی عبد اللّه علیه السلام فی رجلٍ کانت له امرأة، فجاء رجل بشهود أنّ هذه المرأة امرأة فلان، وجاء آخران فشهدا أ نّها امرأة فلان، فاعتدل الشهود وعدلوا،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یقرع بینهم، فمن خرج سهمه فهو المحق، وهو أولی بها</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ما ورد فی تعارض الشهود فی مقدار الودیعة؛ فهی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بن إبراهیم، عن أبیه، عن بعض أصحابنا، عن مثنّی الحنّاط،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شهد له رجلان بأنّ له</w:t>
      </w:r>
    </w:p>
    <w:p>
      <w:pPr>
        <w:pStyle w:val="BookText"/>
        <w:rPr/>
      </w:pPr>
      <w:r>
        <w:rPr>
          <w:rFonts w:ascii="IRNazanin" w:hAnsi="IRNazanin" w:eastAsia="IRNazanin"/>
          <w:color w:val="111111"/>
          <w:sz w:val="28"/>
          <w:sz w:val="28"/>
          <w:szCs w:val="28"/>
          <w:rtl w:val="true"/>
          <w:lang w:bidi="fa-IR"/>
        </w:rPr>
        <w:t xml:space="preserve">عند رجل خمسین درهماً، وجاء آخران فشهدا بأنّ له عنده مائة درهم، کلّهم شهدوا فی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مکان خاصّ وزمان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اُقرع بینهم، ثمّ استحلف الذین أصابهم القرع باللّه، أ نّهم یحلفون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یشهدون ن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ذکرها فی التهذیب علی نحو الإرسال أیضاً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أبیه، عن بعض أصحابه، عن مثنّی الحنّاط</w:t>
      </w:r>
      <w:r>
        <w:rPr>
          <w:rStyle w:val="FootnoteAnchor"/>
          <w:rtl w:val="true"/>
        </w:rPr>
        <w:footnoteReference w:id="122"/>
      </w:r>
      <w:r>
        <w:rPr>
          <w:rFonts w:ascii="IRNazanin" w:hAnsi="IRNazanin" w:eastAsia="IRNazanin"/>
          <w:color w:val="111111"/>
          <w:sz w:val="28"/>
          <w:sz w:val="28"/>
          <w:szCs w:val="28"/>
          <w:rtl w:val="true"/>
          <w:lang w:bidi="fa-IR"/>
        </w:rPr>
        <w:t>، والظاهر صحّة ما ورد فی التهذیب بمعنی أنّه یجب علی الشهود أن یحلفوا أنّ شهادتهم شهادة واقعیّة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ورد فی الدابّة والإشهاد علیها؛ فهی موثّقة سماعة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عن الحسین بن سعید، عن الحسن بن سعید، عن زرعة،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رجلین اختصما إلی علیّ علیه السلام فی دابّة، فزعم کلّ واحد منهما أ نّها نتجب علی مذوده</w:t>
      </w:r>
      <w:r>
        <w:rPr>
          <w:rStyle w:val="FootnoteAnchor"/>
          <w:rtl w:val="true"/>
        </w:rPr>
        <w:footnoteReference w:id="123"/>
      </w:r>
      <w:r>
        <w:rPr>
          <w:rFonts w:ascii="IRNazanin" w:hAnsi="IRNazanin" w:eastAsia="IRNazanin"/>
          <w:color w:val="111111"/>
          <w:sz w:val="28"/>
          <w:sz w:val="28"/>
          <w:szCs w:val="28"/>
          <w:rtl w:val="true"/>
          <w:lang w:bidi="fa-IR"/>
        </w:rPr>
        <w:t>، وأقامَ کلّ واحدٍ منهما بیّنة سواء فی العدد، فأقرعَ بینهما سهمین، فعلّم کلّ واحد منهما بعلامة، ثمّ قال</w:t>
      </w:r>
      <w:r>
        <w:rPr>
          <w:rFonts w:eastAsia="IRNazanin" w:cs="IRNazanin"/>
          <w:color w:val="111111"/>
          <w:sz w:val="28"/>
          <w:szCs w:val="28"/>
          <w:rtl w:val="true"/>
          <w:lang w:bidi="fa-IR"/>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ربّ السماوات السبع، وربّ الأرضین السبع، وربّ العرش العظیم، عالم الغیب والشهادة، الرحمن الرحیم، أیّهما کان صاحب الدابّة وهو أولی بها، فأسألک أن تقرع وتخرج سهمه، فخرج سهم أحدهما، فقضی له بها</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bookmarkStart w:id="176" w:name="pg5448_41251"/>
    </w:p>
    <w:p>
      <w:pPr>
        <w:pStyle w:val="BookText"/>
        <w:rPr/>
      </w:pPr>
      <w:bookmarkEnd w:id="176"/>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محمّد بن علیّ بن محبوب، عن محمّد بن أحمد العلوی، عن العمرکی، عن صفوان، عن علیّ بن مطر، عن عبداللّه بن سنان، وهی من جهة المضمون کالروایة السابقة، إلّاأ نّها أُضیف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أیضاً إذا اختصم إلیه الخصمان فی جاریة، فزعم أحدهما أ نّه اشتراها، وزعم الآخر أ نّه أنتجها، فکانا إذا أقاما البیّنة جمیعاً قضی بها للّذی بها أنتجت عنده</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المسالک وغیرها</w:t>
      </w:r>
      <w:r>
        <w:rPr>
          <w:rStyle w:val="FootnoteAnchor"/>
          <w:rtl w:val="true"/>
        </w:rPr>
        <w:footnoteReference w:id="126"/>
      </w:r>
      <w:r>
        <w:rPr>
          <w:rFonts w:ascii="IRNazanin" w:hAnsi="IRNazanin" w:eastAsia="IRNazanin"/>
          <w:color w:val="111111"/>
          <w:sz w:val="28"/>
          <w:sz w:val="28"/>
          <w:szCs w:val="28"/>
          <w:rtl w:val="true"/>
          <w:lang w:bidi="fa-IR"/>
        </w:rPr>
        <w:t>نسبته إلی الشهرة، بل فی الغُنیة الإجماع علیه</w:t>
      </w:r>
      <w:r>
        <w:rPr>
          <w:rStyle w:val="FootnoteAnchor"/>
          <w:rtl w:val="true"/>
        </w:rPr>
        <w:footnoteReference w:id="127"/>
      </w:r>
      <w:r>
        <w:rPr>
          <w:rFonts w:ascii="IRNazanin" w:hAnsi="IRNazanin" w:eastAsia="IRNazanin"/>
          <w:color w:val="111111"/>
          <w:sz w:val="28"/>
          <w:sz w:val="28"/>
          <w:szCs w:val="28"/>
          <w:rtl w:val="true"/>
          <w:lang w:bidi="fa-IR"/>
        </w:rPr>
        <w:t>، بل فی الریاض نسبته إلی الأشهر بل عامّة متأخّری أصحابنا</w:t>
      </w:r>
      <w:r>
        <w:rPr>
          <w:rStyle w:val="FootnoteAnchor"/>
          <w:rtl w:val="true"/>
        </w:rPr>
        <w:footnoteReference w:id="128"/>
      </w:r>
      <w:r>
        <w:rPr>
          <w:rFonts w:ascii="IRNazanin" w:hAnsi="IRNazanin" w:eastAsia="IRNazanin"/>
          <w:color w:val="111111"/>
          <w:sz w:val="28"/>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فیستفاد من کلمات الفقهاء أ نّهم قد عملوا بهذه الروایات، وأفتوا علی وفقها ومضمونها، وأجروا القرعة فی تعارض الشهود فی هذه الموارد الخاصّة</w:t>
      </w:r>
      <w:r>
        <w:rPr>
          <w:rFonts w:eastAsia="IRNazanin" w:cs="IRNazanin"/>
          <w:color w:val="111111"/>
          <w:sz w:val="28"/>
          <w:szCs w:val="28"/>
          <w:rtl w:val="true"/>
          <w:lang w:bidi="fa-IR"/>
        </w:rPr>
        <w:t>.</w:t>
      </w:r>
    </w:p>
    <w:p>
      <w:pPr>
        <w:pStyle w:val="Heading6"/>
        <w:numPr>
          <w:ilvl w:val="5"/>
          <w:numId w:val="1"/>
        </w:numPr>
        <w:rPr/>
      </w:pPr>
      <w:bookmarkStart w:id="177" w:name="__RefHeading___Toc1920284_581953129"/>
      <w:bookmarkStart w:id="178" w:name="_Toc71"/>
      <w:bookmarkEnd w:id="177"/>
      <w:r>
        <w:rPr>
          <w:rtl w:val="true"/>
        </w:rPr>
        <w:t>العنوان الثانی</w:t>
      </w:r>
      <w:r>
        <w:rPr>
          <w:rtl w:val="true"/>
        </w:rPr>
        <w:t xml:space="preserve">: </w:t>
      </w:r>
      <w:r>
        <w:rPr>
          <w:rtl w:val="true"/>
        </w:rPr>
        <w:t>ما ورد فی الوصیّة بعتق بعض الممالیک أو ثلثهم</w:t>
      </w:r>
      <w:bookmarkEnd w:id="178"/>
    </w:p>
    <w:p>
      <w:pPr>
        <w:pStyle w:val="BookText"/>
        <w:rPr/>
      </w:pPr>
      <w:r>
        <w:rPr>
          <w:rFonts w:ascii="IRNazanin" w:hAnsi="IRNazanin" w:eastAsia="IRNazanin"/>
          <w:color w:val="111111"/>
          <w:sz w:val="28"/>
          <w:sz w:val="28"/>
          <w:szCs w:val="28"/>
          <w:rtl w:val="true"/>
          <w:lang w:bidi="fa-IR"/>
        </w:rPr>
        <w:t>العنوان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ورد فی الوصیّة بعتق بعض الممالیک أو ثلثهم؛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نقله الشیخ فی التهذیب عن الحسین بن سعید، عن فضالة، عن أبان، عن محمّد بن مروان، عن أبی عبداللّه علیه السلام قال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أبی ترک ستّین</w:t>
      </w:r>
    </w:p>
    <w:p>
      <w:pPr>
        <w:pStyle w:val="BookText"/>
        <w:rPr/>
      </w:pPr>
      <w:r>
        <w:rPr>
          <w:rFonts w:ascii="IRNazanin" w:hAnsi="IRNazanin" w:eastAsia="IRNazanin"/>
          <w:color w:val="111111"/>
          <w:sz w:val="28"/>
          <w:sz w:val="28"/>
          <w:szCs w:val="28"/>
          <w:rtl w:val="true"/>
          <w:lang w:bidi="fa-IR"/>
        </w:rPr>
        <w:t>مملوکاً، وأوصی بعتق ثلثهم، فأقرعت بینهم، فأخرجت عشرین، فأعتقتهم</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إشکال فی السند إلّامن جهة محمّد بن مروان؛ فإنّه مشترک بین أربعة 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منهم، وهو محمّد بن مروان البصری غیر موثّق، ولکن 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عبارة عن محمّد بن مروان الذهلی، کما استظهره السیّد المحقّق الخوئی</w:t>
      </w:r>
      <w:r>
        <w:rPr>
          <w:rStyle w:val="FootnoteAnchor"/>
          <w:rtl w:val="true"/>
        </w:rPr>
        <w:footnoteReference w:id="131"/>
      </w:r>
      <w:r>
        <w:rPr>
          <w:rFonts w:ascii="IRNazanin" w:hAnsi="IRNazanin" w:eastAsia="IRNazanin"/>
          <w:color w:val="111111"/>
          <w:sz w:val="28"/>
          <w:sz w:val="28"/>
          <w:szCs w:val="28"/>
          <w:rtl w:val="true"/>
          <w:lang w:bidi="fa-IR"/>
        </w:rPr>
        <w:t>وهو موجود فی رجال کامل الزیارات، وعلی هذا یکون موثّقاً بتوثیق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نقلها الصدوق بإسناده عن أبان، عن عثمان، عن محمّد بن مروان، عن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الإمام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جعفر علیه السلام مات وترک ستّین مملوکاً، فأعتق ثلثهم فأقرعت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من الفرق الواضح بینهما؛ فإنّه علی النقل الأوّل قد أوصی الإمام علیه السلام بعتق الثُّلث، وعلی الثانی فإنّه قد أعتق الثُّلث فی زمن حیاته، وکان غیر معیّن عند الورثة وإن کان معیّناً عند نفسه علیه السلام، وبما أنّ الظاهر اتّحاد الروایتین، فلا یمکن أن یقال بوجود التنافی بینهما، لعدم التعدّد، فالصادر منه علیه السلام کلام واحد لا نعلم أ نّه قد أقرع فیما لو أوصی بالثلث، أو أقرع فیما لو أعتق الثلث فی زمنه ولم یکن معلوماً عندهم، وعلی کلّ حال لا یضرّ بالاستدلال لمشروعیّة القرعة، کما هو واضح</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مسلم؛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محمّد بن الحسن بإسناده</w:t>
      </w:r>
    </w:p>
    <w:p>
      <w:pPr>
        <w:pStyle w:val="BookText"/>
        <w:rPr/>
      </w:pPr>
      <w:r>
        <w:rPr>
          <w:rFonts w:ascii="IRNazanin" w:hAnsi="IRNazanin" w:eastAsia="IRNazanin"/>
          <w:color w:val="111111"/>
          <w:sz w:val="28"/>
          <w:sz w:val="28"/>
          <w:szCs w:val="28"/>
          <w:rtl w:val="true"/>
          <w:lang w:bidi="fa-IR"/>
        </w:rPr>
        <w:t>عن الحسین بن سعید الأهوازی، عن حمّاد، عن حریز، عن محمّد بن مسلم، عن أبی عبد اللّه علیه السلام فی الرجل یکون له المملوکون، فیوصی بعتق ثُلثهم؟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علیه السلام یسهم بینهم</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ونظیر هذا ما نقله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رجلٍ یکون له المملوکون، فیوصی بعتق ثلثهم،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علیه السلام یسهم بینهم</w:t>
      </w:r>
      <w:r>
        <w:rPr>
          <w:rFonts w:eastAsia="IRNazanin" w:cs="IRNazanin"/>
          <w:color w:val="111111"/>
          <w:sz w:val="28"/>
          <w:szCs w:val="28"/>
          <w:rtl w:val="true"/>
          <w:lang w:bidi="fa-IR"/>
        </w:rPr>
        <w:t>»</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المقصود هود محمّد بن مسلم الثقفی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عدم تعدّد الروایتین، فما ذکره الإمام الصادق علیه السلام نقلاً عن علیّ علیه السلام عین ما ذکره الباقر علیه السلام نقلاً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هاتین الروایتین یکون الإمامان علیهما السلام بمنزلة الراویین، وعلی هذا لا تعدّد فی الحدیث کما لا یخفی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الشیخ فی التهذیب عن محمّد بن أحمد بن یحیی، عن محمّد بن عیسی، عن زکریّا المؤمن، عن یونس،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حضرته الوفاة فأوصی إلی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یسار هو ابنی فورّثوه مثل ما یرث أحدکم، وغلامی یسار فاعتقوه فهو حُرّ، فذهبوا یسألونه أیّما یعتق وأیّما یرث؟ فاعتقل لسانه،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فسألوا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أتوا أبا عبد اللّه علیه السلام فعرضوا المسألة علیه، إلی أن قال</w:t>
      </w:r>
      <w:r>
        <w:rPr>
          <w:rFonts w:eastAsia="IRNazanin" w:cs="IRNazanin"/>
          <w:color w:val="111111"/>
          <w:sz w:val="28"/>
          <w:szCs w:val="28"/>
          <w:rtl w:val="true"/>
          <w:lang w:bidi="fa-IR"/>
        </w:rPr>
        <w:t>:</w:t>
      </w:r>
      <w:bookmarkStart w:id="179" w:name="pg5448_41254"/>
    </w:p>
    <w:p>
      <w:pPr>
        <w:pStyle w:val="BookText"/>
        <w:rPr/>
      </w:pPr>
      <w:bookmarkEnd w:id="1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تریدون أُعلّمکم أمر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عشرة أسهم للولد، وعشرة أسهم للعبد،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أسهم عشر مرّات،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فوقعت علی الصغیر سهام الولد،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اعتقوا هذا وورّثوا هذا</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والروایة ضعیفة من جهة یونس</w:t>
      </w:r>
      <w:r>
        <w:rPr>
          <w:rFonts w:eastAsia="IRNazanin" w:cs="IRNazanin"/>
          <w:color w:val="111111"/>
          <w:sz w:val="28"/>
          <w:szCs w:val="28"/>
          <w:rtl w:val="true"/>
          <w:lang w:bidi="fa-IR"/>
        </w:rPr>
        <w:t>.</w:t>
      </w:r>
    </w:p>
    <w:p>
      <w:pPr>
        <w:pStyle w:val="Heading6"/>
        <w:numPr>
          <w:ilvl w:val="5"/>
          <w:numId w:val="1"/>
        </w:numPr>
        <w:rPr/>
      </w:pPr>
      <w:bookmarkStart w:id="180" w:name="__RefHeading___Toc1920286_581953129"/>
      <w:bookmarkStart w:id="181" w:name="_Toc72"/>
      <w:bookmarkEnd w:id="180"/>
      <w:r>
        <w:rPr>
          <w:rtl w:val="true"/>
        </w:rPr>
        <w:t>العنوان الثالث</w:t>
      </w:r>
      <w:r>
        <w:rPr>
          <w:rtl w:val="true"/>
        </w:rPr>
        <w:t xml:space="preserve">: </w:t>
      </w:r>
      <w:r>
        <w:rPr>
          <w:rtl w:val="true"/>
        </w:rPr>
        <w:t>فیما إذا وقع العبد والحرّ والمشرک أو المسلم والیهودی والنصرانی علی امرأة فی طهر واحدٍ</w:t>
      </w:r>
      <w:bookmarkEnd w:id="181"/>
    </w:p>
    <w:p>
      <w:pPr>
        <w:pStyle w:val="BookText"/>
        <w:rPr/>
      </w:pPr>
      <w:r>
        <w:rPr>
          <w:rFonts w:ascii="IRNazanin" w:hAnsi="IRNazanin" w:eastAsia="IRNazanin"/>
          <w:color w:val="111111"/>
          <w:sz w:val="28"/>
          <w:sz w:val="28"/>
          <w:szCs w:val="28"/>
          <w:rtl w:val="true"/>
          <w:lang w:bidi="fa-IR"/>
        </w:rPr>
        <w:t>العنوان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إذا وقع العبد والحُرّ والمشرک علی امرأة فی طُهرٍ واحد، أو إذا وقع المسلم والیهودی والنصرانی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الحلبی وهی ما نقلها محمّد بن الحسن بإسناده عن أحمد بن محمّد، عن ابن أبی نجران، عن أبی المغرا، عن الحلبی،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 الحُرّ والعبد والمشرک علی امرأة فی طهر واحد، وادّعوا الولد أُقرع بینهم وکان الولد للّذی یقرع</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دلّت الصحیحة علی الرجوع إلی القرعة لإلحاق الولد وإثبات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وتوجد صحیحة أخری عن الحلبی، عن الصادق علیه السلام قال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 المسلم والیهودی والنصرانی علی المرأة فی طهر واحد قرع بینهم، فکان الولد للذی تصیبه القرعة</w:t>
      </w:r>
      <w:r>
        <w:rPr>
          <w:rFonts w:eastAsia="IRNazanin" w:cs="IRNazanin"/>
          <w:color w:val="111111"/>
          <w:sz w:val="28"/>
          <w:szCs w:val="28"/>
          <w:rtl w:val="true"/>
          <w:lang w:bidi="fa-IR"/>
        </w:rPr>
        <w:t>»</w:t>
      </w:r>
      <w:r>
        <w:rPr>
          <w:rStyle w:val="FootnoteAnchor"/>
          <w:rtl w:val="true"/>
        </w:rPr>
        <w:footnoteReference w:id="136"/>
      </w:r>
      <w:r>
        <w:rPr>
          <w:rFonts w:ascii="Amiri" w:hAnsi="Amiri" w:eastAsia="Amiri" w:cs="Amiri"/>
          <w:color w:val="111111"/>
          <w:sz w:val="28"/>
          <w:sz w:val="28"/>
          <w:szCs w:val="28"/>
          <w:rtl w:val="true"/>
          <w:lang w:bidi="ar-SA"/>
        </w:rPr>
        <w:t>وهذه الروایة أیضاً تدلّ علی حجّیة</w:t>
      </w:r>
    </w:p>
    <w:p>
      <w:pPr>
        <w:pStyle w:val="BookText"/>
        <w:rPr/>
      </w:pPr>
      <w:r>
        <w:rPr>
          <w:rFonts w:ascii="IRNazanin" w:hAnsi="IRNazanin" w:eastAsia="IRNazanin"/>
          <w:color w:val="111111"/>
          <w:sz w:val="28"/>
          <w:sz w:val="28"/>
          <w:szCs w:val="28"/>
          <w:rtl w:val="true"/>
          <w:lang w:bidi="fa-IR"/>
        </w:rPr>
        <w:t>القرعة مضافاً إلی أنّها تدلّ علی کون الولد مسلماً أو غیر مسلم وبعبارة أخری إذا خرج الولد للمسلم فهو أیضاً مسلم وإذا خرج للهیودی أو النصرانی فهو ملحق بهما إذا لم یکن أنّه مسلماً فالقرعة تثبت اللوازم أیضاً،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عن محمّد بن أحمد بن یحیی، عن محمّد بن الحسین، عن جعفر بن بشیر، عن هشام بن سالم، عن سلیمان بن خالد،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علیّ علیه السلام فی ثلاثة وقعوا علی امرأة فی طهر واحد، وذلک فی الجاهلیّة قبل أن یظهر الإسلام، فأقرع بینهم فجعل الولد للّذی یقرع، وجعل علیه ثلثی الدیة للآخرین، فضحک رسول اللّه صلی الله علیه و آله حتّی بدَت نواجذه،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 شیئاً إلّاما قضی علیّ علیه السلام</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والروایة صحیحة من حیث السند ولا یبعد، بل الظاهر اتّحادها مع الروایة التی تدلّ علی وقوع هذه القضیّة فی الیمن، والمراد من الدیة بقرینة الروایة الآتیة لیست الدیة الکاملة للحُرّة، بل المراد قیمة العبد بعد أن فرض 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الصدوق بسنده الصحیح عن حکم بن مسکین، عن معاویة بن عمّار، عن أبی عبداللّه علیه السلام قال</w:t>
      </w:r>
      <w:r>
        <w:rPr>
          <w:rFonts w:eastAsia="IRNazanin" w:cs="IRNazanin"/>
          <w:color w:val="111111"/>
          <w:sz w:val="28"/>
          <w:szCs w:val="28"/>
          <w:rtl w:val="true"/>
          <w:lang w:bidi="fa-IR"/>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وطیء رجلان أو ثلاثة جاریة فی طهر واحد، فولدت، فادعوه جمیعاً، أقرع الوالی بینهم، فمن</w:t>
      </w:r>
    </w:p>
    <w:p>
      <w:pPr>
        <w:pStyle w:val="BookText"/>
        <w:rPr/>
      </w:pPr>
      <w:r>
        <w:rPr>
          <w:rFonts w:ascii="IRNazanin" w:hAnsi="IRNazanin" w:eastAsia="IRNazanin"/>
          <w:color w:val="111111"/>
          <w:sz w:val="28"/>
          <w:sz w:val="28"/>
          <w:szCs w:val="28"/>
          <w:rtl w:val="true"/>
          <w:lang w:bidi="fa-IR"/>
        </w:rPr>
        <w:t>قرع کان الولد ولده، ویردّ قیمة الولد علی صاحب الجاریة،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اشتری رجل جاریة، فجاء رجل فاستحقّقها، وقد ولدت من المشتری ردّ الجاریة علیه، وکان له ولدها بقیمة</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الروایة تدلّ علی أنّ الجاریة المشترکة من الثلاثة إذا صارت موطوئة فولدت، فالولد یتعیّن بالقرعة، ولکن من جهة وقوع الإضرار علی بقیّة الشرکاء یجب دفع الأرش إلیهم وإذا لم تکن مشترکة بل کانت ملکاً للغیر یجب دفع قیمة الولد إلیه، مضافاً إلی لزوم ردّ الجاریة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النعمان المفید فی الإرشاد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 آله علیّاً علیه السلام إلی الیمن، فرفع إلیه رجلان بینهما جاریة یملکان رقّها علی السواء، قد جهلا خطر وطئها معاً، فوطئاها معاً فی طهر واحد، فحملت و وضعت غلاماً، فقرع علی الغلام باسمیهما فخرجت القرعة لأحدهما، فألحق به الغلام وألزمه نصف قیمته أن لو کان عبداً لشریکه، فبلغ رسول اللّه صلی الله علیه و آله القضیّة فأمضاها، وأقرّ الحکم بها فی الإسلام</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والمستفاد من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قضیّة القرعة من الأفعال التی صدرت من علیّ علیه السلام، وصارت مورداً لإمضاء الرسول صلی الله علیه و آله و سلم، وأعلن بثبوتها فی الإسلام بحیث صارت من المصادر الأساسیّة للحکم فی الإسلام، وهذا أمرٌ مهمّ من خصوصیّات علیّ بن أبی طالب علیه السلام ومن ممیّزاته عن غیره،</w:t>
      </w:r>
    </w:p>
    <w:p>
      <w:pPr>
        <w:pStyle w:val="BookText"/>
        <w:rPr/>
      </w:pPr>
      <w:r>
        <w:rPr>
          <w:rFonts w:ascii="IRNazanin" w:hAnsi="IRNazanin" w:eastAsia="IRNazanin"/>
          <w:color w:val="111111"/>
          <w:sz w:val="28"/>
          <w:sz w:val="28"/>
          <w:szCs w:val="28"/>
          <w:rtl w:val="true"/>
          <w:lang w:bidi="fa-IR"/>
        </w:rPr>
        <w:t>ولعلّ هذا هو السرّ فی عدم تعرّض أهل السُنّة القرعة، بل یعتبرونها علی حدّ ضعیف ملحق بالعدم، وأجروها فی موارد ثلاثة أو أزید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والظاهر أنّ هذا التعبیر من الرسول الأعظم صلی الله علیه و آله لم یصدر عنه بالنسبة إلی غیره، سیّما فی زمن لم یکن علیّ علیه السلام إماماً، وعلیکم بالتدبّر فی هذا التعبیر حتّی تعرف نبذة من حقیقته وعظمته، ویستفاد منه أنّ قضاء علیّ علیه السلام لیس منافیاً لقضاء النبیّ صلی الله علیه و آله، وما حکمَ به إنّما هو حکمٌ صادرٌ عن النبیّ صلی الله علیه و آله،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لم یُقبَل قوله علیه السلام بعد وفاة النبیّ صلی الله علیه و آله ولم یعتن بکلامه مع سماعهم من النبیّ صلی الله علیه و آله ما قاله فی حقّه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سؤال بالنسبة إلی الروایتین؛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کیف جمعوا علی امرأة واحدة فی طهر واحد مع وضوح عدم جوازه؟</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کان فی الجاهلیّة قبل أن یظهر الإسلام لهم، ویؤیّده الروایة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جهلوا ذلک، ویؤیّده الروایة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عملهم لیس من مصادیق الزِّنا، ولا یکون الولد ولد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کان هذا العمل حراماً فی زمان واحد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سؤال آخر؛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لِمَ حکمَ علیه السلام بردّ نصف القیمة علی الآخر، أو بردّ ثلثی الدیة علی الآخرین، مع أ نّهم ادّعوا الولد فقط، ولم یدّعوا شیئاً زائداً علیه؟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یعترفون باستحقاق الولد وعدم استحقاق شیء آخر، ومع ذلک کیف یجوز لهم أخذ القیمة؟</w:t>
      </w:r>
    </w:p>
    <w:p>
      <w:pPr>
        <w:pStyle w:val="BookText"/>
        <w:rPr/>
      </w:pPr>
      <w:r>
        <w:rPr>
          <w:rFonts w:ascii="IRNazanin" w:hAnsi="IRNazanin" w:eastAsia="IRNazanin"/>
          <w:color w:val="111111"/>
          <w:sz w:val="28"/>
          <w:sz w:val="28"/>
          <w:szCs w:val="28"/>
          <w:rtl w:val="true"/>
          <w:lang w:bidi="fa-IR"/>
        </w:rPr>
        <w:t>وقد یقال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بعد إجراء القرعة لم یکن الإقرار مسموعاً، کما أ نّه مع العلم بالخلاف لم یکن مقبولاً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لیس جواباً عن الإشکال، ولا یکون حلّاً له؛ فإنّ الکلام فی أ نّه ما هی العلّة فی لزوم ردّ النصف إلی الآخر، وهذا لا یرتبط بإقراره أو عدمه،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الجواب مؤیّد للإشکال، فلا یجوز الاعتماد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ردّ النصف لا یکون من جهة الولد، بل من جهة أنّ امّه صارت أُمّ ولد، وبهذا نزلت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خلاف لظاهر أو صریح الروایة؛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فألحق به الغلام وألزم نصف قیمته؛ أی قیمة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الجواب یکون اللّازم مقداراً معیّناً، مع أ نّه فی الروایة الأُولی قد ألزمه ردّ ثلثی الدیة، وفی الثانی نصف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الرّد من جهة أنّه صارت أُمّ ولد، فاللّازم أن یقوّم ویعیّن الفرق بینه، وبین من لم تکن أُمّ ولد، فیقدّر قیمتها ویردّ التفاوت بینهما، والتفاوت مقدار ثابت لا یتفاوت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 الروایات ما إذا کانت الجاریة ملکاً لشریکین أو لشرکاء، و إذا کان الولد ملحقاً بأحدهم فاللّازم من ذلک حرمان الشریک الآخر من هذا النتاج، مع أ نّهما مشترکان فی جمیع منافعها، وبالنتیجة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أنّ الشریک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الولد ولداً له بحسب القرعة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سبباً لحرمان الشریک الآخر، فاللّازم التدارک</w:t>
      </w:r>
      <w:r>
        <w:rPr>
          <w:rFonts w:eastAsia="IRNazanin" w:cs="IRNazanin"/>
          <w:color w:val="111111"/>
          <w:sz w:val="28"/>
          <w:szCs w:val="28"/>
          <w:rtl w:val="true"/>
          <w:lang w:bidi="fa-IR"/>
        </w:rPr>
        <w:t>.</w:t>
      </w:r>
      <w:bookmarkStart w:id="182" w:name="pg5448_41259"/>
    </w:p>
    <w:p>
      <w:pPr>
        <w:pStyle w:val="Heading6"/>
        <w:numPr>
          <w:ilvl w:val="5"/>
          <w:numId w:val="1"/>
        </w:numPr>
        <w:rPr/>
      </w:pPr>
      <w:bookmarkStart w:id="183" w:name="__RefHeading___Toc1920288_581953129"/>
      <w:bookmarkStart w:id="184" w:name="_Toc73"/>
      <w:bookmarkEnd w:id="182"/>
      <w:bookmarkEnd w:id="183"/>
      <w:r>
        <w:rPr>
          <w:rtl w:val="true"/>
        </w:rPr>
        <w:t>العنوان الرابع</w:t>
      </w:r>
      <w:r>
        <w:rPr>
          <w:rtl w:val="true"/>
        </w:rPr>
        <w:t xml:space="preserve">: </w:t>
      </w:r>
      <w:r>
        <w:rPr>
          <w:rtl w:val="true"/>
        </w:rPr>
        <w:t>فیما کان الولد مشتبهاً بین الحرّ والعبد</w:t>
      </w:r>
      <w:bookmarkEnd w:id="184"/>
    </w:p>
    <w:p>
      <w:pPr>
        <w:pStyle w:val="BookText"/>
        <w:rPr/>
      </w:pPr>
      <w:r>
        <w:rPr>
          <w:rFonts w:ascii="IRNazanin" w:hAnsi="IRNazanin" w:eastAsia="IRNazanin"/>
          <w:color w:val="111111"/>
          <w:sz w:val="28"/>
          <w:sz w:val="28"/>
          <w:szCs w:val="28"/>
          <w:rtl w:val="true"/>
          <w:lang w:bidi="fa-IR"/>
        </w:rPr>
        <w:t>العنوان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کان الولد مشتبهاً بین الحُرّ و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محمّد بن إسماعیل، عن حمّاد بن عیسی، عن الحسین بن المختار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أبو حنیفة علی أبی عبد اللّه علیه السلام، فقال له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بیت سقط علی قوم، فبقی منهم صبیّان أحدهما حُرّ والآخر مملوک لصاحبه، فلم یعرف الحُرّ من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 نصف هذا، ونصف هذا، فقال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کذلک، و لکنّه یقرع بینهما، فمن أصابته القرعة فهو الحُرّ، ویعتق هذا، فیجعل مولی لهذا</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والروایة صحیحة لا إشکال فی سندها وإن کان المستفاد من عبارة العناوین</w:t>
      </w:r>
      <w:r>
        <w:rPr>
          <w:rStyle w:val="FootnoteAnchor"/>
          <w:rtl w:val="true"/>
        </w:rPr>
        <w:footnoteReference w:id="142"/>
      </w:r>
      <w:r>
        <w:rPr>
          <w:rFonts w:ascii="IRNazanin" w:hAnsi="IRNazanin" w:eastAsia="IRNazanin"/>
          <w:color w:val="111111"/>
          <w:sz w:val="28"/>
          <w:sz w:val="28"/>
          <w:szCs w:val="28"/>
          <w:rtl w:val="true"/>
          <w:lang w:bidi="fa-IR"/>
        </w:rPr>
        <w:t>وجود الضعف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حمّاد، عن حریز، عمّن أخبره، عن أبی عبد اللّه علیه السلام قال</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أمیر المؤمنین علیه السلام بالیمن فی قوم انهدمت علیهم دارهم، وبقی صبیّان، أحدهما حُرّ، والآخر مملوک، فأسهم أمیر المؤمنین علیه السلام بینهما، فخرج السهم علی أحدهما، فجعل له المال، وأعتق الآخر</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bookmarkStart w:id="185" w:name="pg5448_41260"/>
    </w:p>
    <w:p>
      <w:pPr>
        <w:pStyle w:val="BookText"/>
        <w:rPr/>
      </w:pPr>
      <w:bookmarkEnd w:id="185"/>
      <w:r>
        <w:rPr>
          <w:rFonts w:ascii="IRNazanin" w:hAnsi="IRNazanin" w:eastAsia="IRNazanin"/>
          <w:color w:val="111111"/>
          <w:sz w:val="28"/>
          <w:sz w:val="28"/>
          <w:szCs w:val="28"/>
          <w:rtl w:val="true"/>
          <w:lang w:bidi="fa-IR"/>
        </w:rPr>
        <w:t>والسند بهذا الطریق مرسل، ولکن فی التهذیب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سعید، عن حمّاد بن عیسی، عن حریز، عن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عبّر صاحب العناوین</w:t>
      </w:r>
      <w:r>
        <w:rPr>
          <w:rStyle w:val="FootnoteAnchor"/>
          <w:rtl w:val="true"/>
        </w:rPr>
        <w:footnoteReference w:id="144"/>
      </w:r>
      <w:r>
        <w:rPr>
          <w:rFonts w:ascii="IRNazanin" w:hAnsi="IRNazanin" w:eastAsia="IRNazanin"/>
          <w:color w:val="111111"/>
          <w:sz w:val="28"/>
          <w:sz w:val="28"/>
          <w:szCs w:val="28"/>
          <w:rtl w:val="true"/>
          <w:lang w:bidi="fa-IR"/>
        </w:rPr>
        <w:t>عنها بالصحیحة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بن سماعة، عن الحسن بن أیّوب، عن العلاء، عن محمّد بن مسلم،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أَمَةٌ و حُرّة سقط علیهما البیت وقد ولدتا، فماتت الأُمّان وبقی الابنان، کیف یورثان؟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یُسهَم علیهما ثلاث ولاءً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فأیّهما أصابه السهم ورث الآخر</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والروایة غیر صحیحة من جهة حسن بن أیّوب وإن کان صاحب العناوین</w:t>
      </w:r>
      <w:r>
        <w:rPr>
          <w:rStyle w:val="FootnoteAnchor"/>
          <w:rtl w:val="true"/>
        </w:rPr>
        <w:footnoteReference w:id="146"/>
      </w:r>
      <w:r>
        <w:rPr>
          <w:rFonts w:ascii="Amiri" w:hAnsi="Amiri" w:eastAsia="Amiri" w:cs="Amiri"/>
          <w:color w:val="111111"/>
          <w:sz w:val="28"/>
          <w:sz w:val="28"/>
          <w:szCs w:val="28"/>
          <w:rtl w:val="true"/>
          <w:lang w:bidi="ar-SA"/>
        </w:rPr>
        <w:t>قد عبّر عنها بالموثّقة</w:t>
      </w:r>
      <w:r>
        <w:rPr>
          <w:rFonts w:eastAsia="Amiri" w:cs="Amiri" w:ascii="Amiri" w:hAnsi="Amiri"/>
          <w:color w:val="111111"/>
          <w:sz w:val="28"/>
          <w:szCs w:val="28"/>
          <w:rtl w:val="true"/>
          <w:lang w:bidi="ar-SA"/>
        </w:rPr>
        <w:t>.</w:t>
      </w:r>
    </w:p>
    <w:p>
      <w:pPr>
        <w:pStyle w:val="Heading6"/>
        <w:numPr>
          <w:ilvl w:val="5"/>
          <w:numId w:val="1"/>
        </w:numPr>
        <w:rPr/>
      </w:pPr>
      <w:bookmarkStart w:id="186" w:name="__RefHeading___Toc1920290_581953129"/>
      <w:bookmarkStart w:id="187" w:name="_Toc74"/>
      <w:bookmarkEnd w:id="186"/>
      <w:r>
        <w:rPr>
          <w:rtl w:val="true"/>
        </w:rPr>
        <w:t>العنوان الخامس</w:t>
      </w:r>
      <w:r>
        <w:rPr>
          <w:rtl w:val="true"/>
        </w:rPr>
        <w:t xml:space="preserve">: </w:t>
      </w:r>
      <w:r>
        <w:rPr>
          <w:rtl w:val="true"/>
        </w:rPr>
        <w:t>فیما ورد فی الغنم الموطوءة</w:t>
      </w:r>
      <w:bookmarkEnd w:id="187"/>
    </w:p>
    <w:p>
      <w:pPr>
        <w:pStyle w:val="Heading6"/>
        <w:numPr>
          <w:ilvl w:val="5"/>
          <w:numId w:val="1"/>
        </w:numPr>
        <w:rPr/>
      </w:pPr>
      <w:bookmarkStart w:id="188" w:name="__RefHeading___Toc1920292_581953129"/>
      <w:bookmarkStart w:id="189" w:name="_Toc75"/>
      <w:bookmarkEnd w:id="188"/>
      <w:r>
        <w:rPr>
          <w:rtl w:val="true"/>
        </w:rPr>
        <w:t>اشارة</w:t>
      </w:r>
      <w:bookmarkEnd w:id="189"/>
    </w:p>
    <w:p>
      <w:pPr>
        <w:pStyle w:val="BookText"/>
        <w:rPr/>
      </w:pPr>
      <w:r>
        <w:rPr>
          <w:rFonts w:ascii="IRNazanin" w:hAnsi="IRNazanin" w:eastAsia="IRNazanin"/>
          <w:color w:val="111111"/>
          <w:sz w:val="28"/>
          <w:sz w:val="28"/>
          <w:szCs w:val="28"/>
          <w:rtl w:val="true"/>
          <w:lang w:bidi="fa-IR"/>
        </w:rPr>
        <w:t>العنوان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الغنم الموطوءة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محمّد بن عیسی، عن الرجل علیه السلام أ نّه سئل عن رجل نظر إلی راع نزا علی شاة؟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عرفها ذبحها وأحرقها، وإن لم یعرفها قسّمها نصفین أبداً، حتّی یقع السهم بها، فتذبح وتُحرَق، وقد نَجَت سائرها</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بن شعبة فی تحف العقول عن أبی الحسن</w:t>
      </w:r>
    </w:p>
    <w:p>
      <w:pPr>
        <w:pStyle w:val="BookText"/>
        <w:rPr/>
      </w:pPr>
      <w:r>
        <w:rPr>
          <w:rFonts w:ascii="IRNazanin" w:hAnsi="IRNazanin" w:eastAsia="IRNazanin"/>
          <w:color w:val="111111"/>
          <w:sz w:val="28"/>
          <w:sz w:val="28"/>
          <w:szCs w:val="28"/>
          <w:rtl w:val="true"/>
          <w:lang w:bidi="fa-IR"/>
        </w:rPr>
        <w:t>الثالث علیه السلام فی جواب مسائل یحیی بن أکثم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الرجل الناظر إلی الراعی، وقد نزا علی شاة، فإن عرفها ذبحها وأحرقها، وإن لم یعرفها قسّم الغنم نصفین وساهم بینهما، فإذا وقع علی أحد النصفین فقد نجا النصف الآخر، ثمّ یفرّق النصف الآخر، فلا یزال کذلک حتّی تبقی شاتان، فیقرع بینهما، فأیّهما وقع السهم بها ذبحت وأُحرقت، ونجا سائر الغنم</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محمّد بن عیسی فی الروایة الأُولی وإن کان مشترکاً بین أربعة، ولکن الظاهر هو محمّد بن عیسی بن العبید الیقطینی، وهو محلّ البحث والکلام بین الرِّجالیّین، فقد وثّقه النجاشی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من أصحابنا، ثقة، عین، کثیر الروایة، حسن التصانیف، ولکن ذکر أنّ ابن بابویه نقل عن ابن الولید أنّ ما تفرّد به محمّد بن عیسی من کتب یونس وحدیثه لا یعتمد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أصحابنا ینکرون هذا القول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أبی جعفر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القتیبی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 العُبَیدی، ویُثنی علیه ویمدحه، ویمیل إلیه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أقرانه مثله</w:t>
      </w:r>
      <w:r>
        <w:rPr>
          <w:rFonts w:eastAsia="IRNazanin" w:cs="IRNazanin"/>
          <w:color w:val="111111"/>
          <w:sz w:val="28"/>
          <w:szCs w:val="28"/>
          <w:rtl w:val="true"/>
          <w:lang w:bidi="fa-IR"/>
        </w:rPr>
        <w:t>.</w:t>
      </w:r>
      <w:r>
        <w:rPr>
          <w:rStyle w:val="FootnoteAnchor"/>
          <w:rtl w:val="true"/>
        </w:rPr>
        <w:footnoteReference w:id="14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الشیخ فی الفهرست ورجاله قد ضعّفه</w:t>
      </w:r>
      <w:r>
        <w:rPr>
          <w:rStyle w:val="FootnoteAnchor"/>
          <w:rtl w:val="true"/>
        </w:rPr>
        <w:footnoteReference w:id="150"/>
      </w:r>
      <w:r>
        <w:rPr>
          <w:rFonts w:ascii="IRNazanin" w:hAnsi="IRNazanin" w:eastAsia="IRNazanin"/>
          <w:color w:val="111111"/>
          <w:sz w:val="28"/>
          <w:sz w:val="28"/>
          <w:szCs w:val="28"/>
          <w:rtl w:val="true"/>
          <w:lang w:bidi="fa-IR"/>
        </w:rPr>
        <w:t>، والظاهر أ نّه بعد التعارض بین النجاشی والشیخ الاعتماد علی الأوّل کما لا یخفی، ولعلّه</w:t>
      </w:r>
    </w:p>
    <w:p>
      <w:pPr>
        <w:pStyle w:val="BookText"/>
        <w:rPr/>
      </w:pPr>
      <w:r>
        <w:rPr>
          <w:rFonts w:ascii="IRNazanin" w:hAnsi="IRNazanin" w:eastAsia="IRNazanin"/>
          <w:color w:val="111111"/>
          <w:sz w:val="28"/>
          <w:sz w:val="28"/>
          <w:szCs w:val="28"/>
          <w:rtl w:val="true"/>
          <w:lang w:bidi="fa-IR"/>
        </w:rPr>
        <w:t>من أجل هذا قال العلّامة فی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عندی قبول روایته</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 نّه الیقطینی، کما یظهر من الأمارات والشواهد الرجالیّة، لکن الظاهر ثقته، والقدح فیه غیر ثابت، وجلّ الأصحاب یعدّون حدیثه صحیحاً</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واستظهر صاحب الجواهر کونه العبیدی،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ثقة</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وکیف کان، فتوثیقهما وإن کان غیر معتبر من جهة عدم اعتبار توثیق المتأخِّرین، و لکنّه بمنزلة التأیید لما ذکره النجاشی، وعلی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 نّه لا إشکال من جهة هذا الشخص، ولکن الکلام فی أ نّه ما هو المراد من الرجل، فهل المراد هو الکاظم أو الجواد أو الهادی أو العسکری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المراد منه هو الهادی علیه السلام، وذلک بقرینة الروایة الثانیة، وقد صرّح فیها بأبی الحسن الثالث؛ وهو الهادی علیه السلام، اللّهُمَّ إلّاأن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إضافة الثالث لیست من الراوی، بل من إضافات الکاتبین والمحدّثین فی کتبهم، ولیس هذا ببعید، وذکر صاحب الجواهر أنّ الظاهر أ نّه الهادی أو العسکری علیهما السلام ولم یعیّنه</w:t>
      </w:r>
      <w:r>
        <w:rPr>
          <w:rFonts w:eastAsia="IRNazanin" w:cs="IRNazanin"/>
          <w:color w:val="111111"/>
          <w:sz w:val="28"/>
          <w:szCs w:val="28"/>
          <w:rtl w:val="true"/>
          <w:lang w:bidi="fa-IR"/>
        </w:rPr>
        <w:t>.</w:t>
      </w:r>
      <w:r>
        <w:rPr>
          <w:rStyle w:val="FootnoteAnchor"/>
          <w:rtl w:val="true"/>
        </w:rPr>
        <w:footnoteReference w:id="154"/>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فالروایة صحیحة من حیث السند، ولا اعتبار بما ذکره الشهید الثانی</w:t>
      </w:r>
      <w:r>
        <w:rPr>
          <w:rStyle w:val="FootnoteAnchor"/>
          <w:rtl w:val="true"/>
        </w:rPr>
        <w:footnoteReference w:id="155"/>
      </w:r>
      <w:r>
        <w:rPr>
          <w:rFonts w:ascii="IRNazanin" w:hAnsi="IRNazanin" w:eastAsia="IRNazanin"/>
          <w:color w:val="111111"/>
          <w:sz w:val="28"/>
          <w:sz w:val="28"/>
          <w:szCs w:val="28"/>
          <w:rtl w:val="true"/>
          <w:lang w:bidi="fa-IR"/>
        </w:rPr>
        <w:t>من الضعف والإرسال؛ فإنّه قد أثبتنا عدم ضعفه، وأمّا</w:t>
      </w:r>
      <w:bookmarkStart w:id="190" w:name="pg5448_41263"/>
    </w:p>
    <w:p>
      <w:pPr>
        <w:pStyle w:val="BookText"/>
        <w:rPr/>
      </w:pPr>
      <w:bookmarkEnd w:id="190"/>
      <w:r>
        <w:rPr>
          <w:rFonts w:ascii="IRNazanin" w:hAnsi="IRNazanin" w:eastAsia="IRNazanin"/>
          <w:color w:val="111111"/>
          <w:sz w:val="28"/>
          <w:sz w:val="28"/>
          <w:szCs w:val="28"/>
          <w:rtl w:val="true"/>
          <w:lang w:bidi="fa-IR"/>
        </w:rPr>
        <w:t>الإرسال فهو مبنیّ علی نقله عن الکاظم علیه السلام، وقد مرّ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بنینا علی ضعف الروایة من جهة السند، ولکن ینجبر بعمل الأصحاب، ولا إشکال فی عمل الأصحاب بهاتین الروایتین</w:t>
      </w:r>
      <w:r>
        <w:rPr>
          <w:rFonts w:eastAsia="IRNazanin" w:cs="IRNazanin"/>
          <w:color w:val="111111"/>
          <w:sz w:val="28"/>
          <w:szCs w:val="28"/>
          <w:rtl w:val="true"/>
          <w:lang w:bidi="fa-IR"/>
        </w:rPr>
        <w:t>.</w:t>
      </w:r>
    </w:p>
    <w:p>
      <w:pPr>
        <w:pStyle w:val="Heading6"/>
        <w:numPr>
          <w:ilvl w:val="5"/>
          <w:numId w:val="1"/>
        </w:numPr>
        <w:rPr/>
      </w:pPr>
      <w:bookmarkStart w:id="191" w:name="__RefHeading___Toc1920294_581953129"/>
      <w:bookmarkStart w:id="192" w:name="_Toc76"/>
      <w:bookmarkEnd w:id="191"/>
      <w:r>
        <w:rPr>
          <w:rtl w:val="true"/>
        </w:rPr>
        <w:t>فقه الروایة، وأنّ موردها الشبهة المحصورة أو غیر المحصورة</w:t>
      </w:r>
      <w:bookmarkEnd w:id="192"/>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مورد الروایتین الشُّبهة المحصورة، کما استظهرها صاحب الجواهر ونسب إلی بعض متأخّری المتأخِّرین</w:t>
      </w:r>
      <w:r>
        <w:rPr>
          <w:rStyle w:val="FootnoteAnchor"/>
          <w:rtl w:val="true"/>
        </w:rPr>
        <w:footnoteReference w:id="156"/>
      </w:r>
      <w:r>
        <w:rPr>
          <w:rFonts w:ascii="IRNazanin" w:hAnsi="IRNazanin" w:eastAsia="IRNazanin"/>
          <w:color w:val="111111"/>
          <w:sz w:val="28"/>
          <w:sz w:val="28"/>
          <w:szCs w:val="28"/>
          <w:rtl w:val="true"/>
          <w:lang w:bidi="fa-IR"/>
        </w:rPr>
        <w:t>والمراد منه النراقی فی عوائده</w:t>
      </w:r>
      <w:r>
        <w:rPr>
          <w:rStyle w:val="FootnoteAnchor"/>
          <w:rtl w:val="true"/>
        </w:rPr>
        <w:footnoteReference w:id="157"/>
      </w:r>
      <w:r>
        <w:rPr>
          <w:rFonts w:ascii="IRNazanin" w:hAnsi="IRNazanin" w:eastAsia="IRNazanin"/>
          <w:color w:val="111111"/>
          <w:sz w:val="28"/>
          <w:sz w:val="28"/>
          <w:szCs w:val="28"/>
          <w:rtl w:val="true"/>
          <w:lang w:bidi="fa-IR"/>
        </w:rPr>
        <w:t>، أو الشبهة غیر المحصورة، کما هو الحقّ عندنا، واستظهرها صاحب العناوین،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الروایة محمولة علی القطیع الغیر المحصور عادةً، فتنزّل علی الاستحباب وطیب النفس ودفع النفرة</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یمکن أن یقال بإطلاقهما، کما یستفاد من کلمات بعض؟ وجوه ثلاثة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بناءً علی الأوّل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حکم المشهور فی الشُّبهة المحصورة بلزوم الاحتیاط والاجتناب عن جمیع الأطراف، والروایة تدلّ علی القرعة، مع أ نّها من مصادیق الشُّبهة المحصورة، فهل الروایة علی خلاف القاعدة، وتکتفی بموردها فقط، ولا یتعدّی عنها إلی سائر موارد الشبهات المحصورة؟ وما هو الفرق بینها، وبین الروایات</w:t>
      </w:r>
      <w:r>
        <w:rPr>
          <w:rStyle w:val="FootnoteAnchor"/>
          <w:rtl w:val="true"/>
        </w:rPr>
        <w:footnoteReference w:id="159"/>
      </w:r>
      <w:r>
        <w:rPr>
          <w:rFonts w:ascii="IRNazanin" w:hAnsi="IRNazanin" w:eastAsia="IRNazanin"/>
          <w:color w:val="111111"/>
          <w:sz w:val="28"/>
          <w:sz w:val="28"/>
          <w:szCs w:val="28"/>
          <w:rtl w:val="true"/>
          <w:lang w:bidi="fa-IR"/>
        </w:rPr>
        <w:t>التی وردت فی اختلاط المذکّی بالمیتة، وقد حکم فیها بلزوم الاجتناب عن</w:t>
      </w:r>
    </w:p>
    <w:p>
      <w:pPr>
        <w:pStyle w:val="BookText"/>
        <w:rPr/>
      </w:pPr>
      <w:r>
        <w:rPr>
          <w:rFonts w:ascii="IRNazanin" w:hAnsi="IRNazanin" w:eastAsia="IRNazanin"/>
          <w:color w:val="111111"/>
          <w:sz w:val="28"/>
          <w:sz w:val="28"/>
          <w:szCs w:val="28"/>
          <w:rtl w:val="true"/>
          <w:lang w:bidi="fa-IR"/>
        </w:rPr>
        <w:t>جمیع أطرافها، ویجوز بیعها بمن یستحلّها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جواز التعدّی عن الشاة الواحدة إلی الاثنتین أو أکثر، فلو علمنا إجمالاً بوجود خمسة شیاه بین العشرین، فبمقتضی الروایة نخرجها بالقرعة، وکذا لا ریب فی أ نّه فی مورد الروایة إذا تلف واحد أو اثنین فنحکم بالقرعة، ونجعل التالف فی أحد القسمین، وهذا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هل یجوز التعدّی عنها بما إذا اختلط الحلال والحرام والمذکّی والمیتة؟ والظاهر بعد المراجعة إلی العرف جواز إلغاء الخصوصیّة، کما أنّ الظاهر یجوز التعدّی عن روایات اختلاط المذکّی بالمیتة إلی الموطوءة؛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یجوز أن یقال بالاجتناب عن جمیعها، وجواز بیعها بمن یستحلّها إلّاأن یقال بعدم المستحل فی ذلک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قد یقال بذلک فی مسألة الخمر، فحرمة الخمر لا تختصّ بالإسلام، بل کان محرّماً فی جمیع الشرائع، وعلی هذا لا یجوز بیعه بمن یستحلّه، وقد حقّقنا وأشبعنا الکلام فی ذلک فی المباحث الفقهیّة فی المعاملات، فراجع</w:t>
      </w:r>
      <w:r>
        <w:rPr>
          <w:rFonts w:eastAsia="IRNazanin" w:cs="IRNazanin"/>
          <w:color w:val="111111"/>
          <w:sz w:val="28"/>
          <w:szCs w:val="28"/>
          <w:rtl w:val="true"/>
          <w:lang w:bidi="fa-IR"/>
        </w:rPr>
        <w:t>.</w:t>
      </w:r>
      <w:r>
        <w:rPr>
          <w:rStyle w:val="FootnoteAnchor"/>
          <w:rtl w:val="true"/>
        </w:rPr>
        <w:footnoteReference w:id="16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فالظاهر بحسب الاستدلال والصناعة الفقهیّة اتّحاد الموردین بحسب الحکم، وإلغاء العرف الخصوصیّة عن کلّ منهما والملاک والضابط فی إلغاء الخصوصیّة هو العرف، فقد یلغی فی بعض الموارد، کإلغاء الرجل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شک بین الثلاث والاربع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لا</w:t>
      </w:r>
    </w:p>
    <w:p>
      <w:pPr>
        <w:pStyle w:val="BookText"/>
        <w:rPr/>
      </w:pPr>
      <w:r>
        <w:rPr>
          <w:rFonts w:ascii="IRNazanin" w:hAnsi="IRNazanin" w:eastAsia="IRNazanin"/>
          <w:color w:val="111111"/>
          <w:sz w:val="28"/>
          <w:sz w:val="28"/>
          <w:szCs w:val="28"/>
          <w:rtl w:val="true"/>
          <w:lang w:bidi="fa-IR"/>
        </w:rPr>
        <w:t>یلغی، کعدم إلغاء الرجل فی باب القضاء،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قد افترقوا بینهم، ولعلّه لأجل ذلک قال المحقّق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الفرق بینهما غیر واضح</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قد یقال بلزوم الإحراق فی الموطوءة، وعدم لزومه فی المیتة، ولکن هذا الفرق لیس بفارق،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مورد الروایة مخالف للقاعدة، أم یمکن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الروایة شاهدة علی بطلان القاعدة؛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نّها یصحّ أن یقال بالقرعة فی جمیع موارد الشبهات المحصورة الموضوعیّة،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لزوم الاجتناب فی الشبهات المحصورة الموضوعیّة یکون علی حسب القاعدة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المستفاد من الروایتین یکون علی حسب القاعدة الثانویّة، کما قد یقال فی بعض الموارد بالبراءة العقلیّة والاحتیاط الشرعی أو عکس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المحقّق القمی القول بالقرعة فی ضمن الأقوال الموجودة فی الشبهات المحصورة الموضوعیّة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هاهنا قولاً آخر؛ 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الحلال المشتبه بالحرام یجب التخلّص منه بالقرعة؛ لما ورد من أ نّها لکلّ أمر مشکل، وخصوص بعض الأخبار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أورد إیراداً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إشکال فیما نحن فیه بعدما عرفت من الأدلّة، وعن خصوص الروایة بحملها علی الاستحباب؛ لعدم</w:t>
      </w:r>
      <w:bookmarkStart w:id="193" w:name="pg5448_41266"/>
    </w:p>
    <w:p>
      <w:pPr>
        <w:pStyle w:val="BookText"/>
        <w:rPr/>
      </w:pPr>
      <w:bookmarkEnd w:id="193"/>
      <w:r>
        <w:rPr>
          <w:rFonts w:ascii="IRNazanin" w:hAnsi="IRNazanin" w:eastAsia="IRNazanin"/>
          <w:color w:val="111111"/>
          <w:sz w:val="28"/>
          <w:sz w:val="28"/>
          <w:szCs w:val="28"/>
          <w:rtl w:val="true"/>
          <w:lang w:bidi="fa-IR"/>
        </w:rPr>
        <w:t>مقاومتها للعمومات والخصوصات المتقدّمة، أو یعمل بها بالخصوص فی هذا المورد، کما قد یقال بالاجتناب فی الإناءین المشتبهین بالدلیل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نقل کلاماً عن المجلسی فی أربعینه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المجلسی فی الأربعین بعد ذکر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الخبر یدلّ علی أنّ الحلال المشتبه بالحرام یجب التخلّص عنه بالقرعة، کما اختاره بعض الأصحاب، وهو مؤیّد بما ورد فی الأخبار المستفیضة أنّ کلّ مشکل فیه القرعة</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r>
        <w:rPr>
          <w:rStyle w:val="FootnoteAnchor"/>
          <w:rtl w:val="true"/>
        </w:rPr>
        <w:footnoteReference w:id="163"/>
      </w:r>
    </w:p>
    <w:p>
      <w:pPr>
        <w:pStyle w:val="Heading6"/>
        <w:numPr>
          <w:ilvl w:val="5"/>
          <w:numId w:val="1"/>
        </w:numPr>
        <w:rPr/>
      </w:pPr>
      <w:bookmarkStart w:id="194" w:name="__RefHeading___Toc1920296_581953129"/>
      <w:bookmarkStart w:id="195" w:name="_Toc77"/>
      <w:bookmarkEnd w:id="194"/>
      <w:r>
        <w:rPr>
          <w:rtl w:val="true"/>
        </w:rPr>
        <w:t>العنوان السادس</w:t>
      </w:r>
      <w:r>
        <w:rPr>
          <w:rtl w:val="true"/>
        </w:rPr>
        <w:t xml:space="preserve">: </w:t>
      </w:r>
      <w:r>
        <w:rPr>
          <w:rtl w:val="true"/>
        </w:rPr>
        <w:t>ما ورد فی الخنثی المشکل</w:t>
      </w:r>
      <w:bookmarkEnd w:id="195"/>
    </w:p>
    <w:p>
      <w:pPr>
        <w:pStyle w:val="BookText"/>
        <w:rPr/>
      </w:pPr>
      <w:r>
        <w:rPr>
          <w:rFonts w:ascii="IRNazanin" w:hAnsi="IRNazanin" w:eastAsia="IRNazanin"/>
          <w:color w:val="111111"/>
          <w:sz w:val="28"/>
          <w:sz w:val="28"/>
          <w:szCs w:val="28"/>
          <w:rtl w:val="true"/>
          <w:lang w:bidi="fa-IR"/>
        </w:rPr>
        <w:t>العنوان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الخنثی المشکل، وقد مرّ</w:t>
      </w:r>
      <w:r>
        <w:rPr>
          <w:rStyle w:val="FootnoteAnchor"/>
          <w:rtl w:val="true"/>
        </w:rPr>
        <w:footnoteReference w:id="164"/>
      </w:r>
      <w:r>
        <w:rPr>
          <w:rFonts w:ascii="IRNazanin" w:hAnsi="IRNazanin" w:eastAsia="IRNazanin"/>
          <w:color w:val="111111"/>
          <w:sz w:val="28"/>
          <w:sz w:val="28"/>
          <w:szCs w:val="28"/>
          <w:rtl w:val="true"/>
          <w:lang w:bidi="fa-IR"/>
        </w:rPr>
        <w:t>ما یدلّ علی العموم فیها، کمرسلة ثعلبة، وموثّقة عبد اللّه بن مسکان، ولکن مع ذلک یوجد بعض الروایات الدالّة علی جریان القرعة فی الخنثی المشکل؛ من دون أن یوجد فیها ما یدلّ علی التوسعة والعموم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فضیل بن یسار،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محمّد، عن الحسن بن محبوب، عن علیّ بن رئاب، عن 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مولود لیس له ما للرجال ولا ما للنساء؟ قال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یقرع الإمام أو المقرع به، یکتب علی سهم عبد اللّه، وعلی سهم أمَة اللّه، ثمّ یقول الإمام أو المقرع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اللّه لا إله إلّا أنت، عالم الغیب والشهادة، أنت تحکم بین عبادک فیما کانوا فیه</w:t>
      </w:r>
      <w:bookmarkStart w:id="196" w:name="pg5448_41267"/>
    </w:p>
    <w:p>
      <w:pPr>
        <w:pStyle w:val="BookText"/>
        <w:rPr/>
      </w:pPr>
      <w:bookmarkEnd w:id="196"/>
      <w:r>
        <w:rPr>
          <w:rFonts w:ascii="IRNazanin" w:hAnsi="IRNazanin" w:eastAsia="IRNazanin"/>
          <w:color w:val="111111"/>
          <w:sz w:val="28"/>
          <w:sz w:val="28"/>
          <w:szCs w:val="28"/>
          <w:rtl w:val="true"/>
          <w:lang w:bidi="fa-IR"/>
        </w:rPr>
        <w:t>یختلفون، فبیِّن لنا أمر هذا المولود کیف یورث ما فرضت له فی الکتاب ثمّ یطرح السهمان فی سهام مبهمة، ثمّ تجال السهام علی ما خرج ورّث علیه</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عدم عمل المشهور علی طبقها، وذهبوا إلی أ نّه یعطی نصف میراث الرجل ونصف میراث الخنثی، فقد ذهب المفید</w:t>
      </w:r>
      <w:r>
        <w:rPr>
          <w:rStyle w:val="FootnoteAnchor"/>
          <w:rtl w:val="true"/>
        </w:rPr>
        <w:footnoteReference w:id="166"/>
      </w:r>
      <w:r>
        <w:rPr>
          <w:rFonts w:ascii="IRNazanin" w:hAnsi="IRNazanin" w:eastAsia="IRNazanin"/>
          <w:color w:val="111111"/>
          <w:sz w:val="28"/>
          <w:sz w:val="28"/>
          <w:szCs w:val="28"/>
          <w:rtl w:val="true"/>
          <w:lang w:bidi="fa-IR"/>
        </w:rPr>
        <w:t>، والصدوقان</w:t>
      </w:r>
      <w:r>
        <w:rPr>
          <w:rStyle w:val="FootnoteAnchor"/>
          <w:rtl w:val="true"/>
        </w:rPr>
        <w:footnoteReference w:id="167"/>
      </w:r>
      <w:r>
        <w:rPr>
          <w:rFonts w:ascii="IRNazanin" w:hAnsi="IRNazanin" w:eastAsia="IRNazanin"/>
          <w:color w:val="111111"/>
          <w:sz w:val="28"/>
          <w:sz w:val="28"/>
          <w:szCs w:val="28"/>
          <w:rtl w:val="true"/>
          <w:lang w:bidi="fa-IR"/>
        </w:rPr>
        <w:t>، والشیخ فی النهایة</w:t>
      </w:r>
      <w:r>
        <w:rPr>
          <w:rStyle w:val="FootnoteAnchor"/>
          <w:rtl w:val="true"/>
        </w:rPr>
        <w:footnoteReference w:id="168"/>
      </w:r>
      <w:r>
        <w:rPr>
          <w:rFonts w:ascii="IRNazanin" w:hAnsi="IRNazanin" w:eastAsia="IRNazanin"/>
          <w:color w:val="111111"/>
          <w:sz w:val="28"/>
          <w:sz w:val="28"/>
          <w:szCs w:val="28"/>
          <w:rtl w:val="true"/>
          <w:lang w:bidi="fa-IR"/>
        </w:rPr>
        <w:t>، وابن حمزة فی الوسیلة</w:t>
      </w:r>
      <w:r>
        <w:rPr>
          <w:rStyle w:val="FootnoteAnchor"/>
          <w:rtl w:val="true"/>
        </w:rPr>
        <w:footnoteReference w:id="169"/>
      </w:r>
      <w:r>
        <w:rPr>
          <w:rFonts w:ascii="Amiri" w:hAnsi="Amiri" w:eastAsia="Amiri" w:cs="Amiri"/>
          <w:color w:val="111111"/>
          <w:sz w:val="28"/>
          <w:sz w:val="28"/>
          <w:szCs w:val="28"/>
          <w:rtl w:val="true"/>
          <w:lang w:bidi="ar-SA"/>
        </w:rPr>
        <w:t>، وابن زُهرة فی الغُنیة</w:t>
      </w:r>
      <w:r>
        <w:rPr>
          <w:rStyle w:val="FootnoteAnchor"/>
          <w:rtl w:val="true"/>
        </w:rPr>
        <w:footnoteReference w:id="170"/>
      </w:r>
      <w:r>
        <w:rPr>
          <w:rFonts w:ascii="IRNazanin" w:hAnsi="IRNazanin" w:eastAsia="IRNazanin"/>
          <w:color w:val="111111"/>
          <w:sz w:val="28"/>
          <w:sz w:val="28"/>
          <w:szCs w:val="28"/>
          <w:rtl w:val="true"/>
          <w:lang w:bidi="fa-IR"/>
        </w:rPr>
        <w:t>، والشهیدان</w:t>
      </w:r>
      <w:r>
        <w:rPr>
          <w:rStyle w:val="FootnoteAnchor"/>
          <w:rtl w:val="true"/>
        </w:rPr>
        <w:footnoteReference w:id="171"/>
      </w:r>
      <w:r>
        <w:rPr>
          <w:rFonts w:ascii="Amiri" w:hAnsi="Amiri" w:eastAsia="Amiri" w:cs="Amiri"/>
          <w:color w:val="111111"/>
          <w:sz w:val="28"/>
          <w:sz w:val="28"/>
          <w:szCs w:val="28"/>
          <w:rtl w:val="true"/>
          <w:lang w:bidi="ar-SA"/>
        </w:rPr>
        <w:t>، و العلّامة</w:t>
      </w:r>
      <w:r>
        <w:rPr>
          <w:rStyle w:val="FootnoteAnchor"/>
          <w:rtl w:val="true"/>
        </w:rPr>
        <w:footnoteReference w:id="172"/>
      </w:r>
      <w:r>
        <w:rPr>
          <w:rFonts w:ascii="IRNazanin" w:hAnsi="IRNazanin" w:eastAsia="IRNazanin"/>
          <w:color w:val="111111"/>
          <w:sz w:val="28"/>
          <w:sz w:val="28"/>
          <w:szCs w:val="28"/>
          <w:rtl w:val="true"/>
          <w:lang w:bidi="fa-IR"/>
        </w:rPr>
        <w:t>وفخر المحقّقین</w:t>
      </w:r>
      <w:r>
        <w:rPr>
          <w:rStyle w:val="FootnoteAnchor"/>
          <w:rtl w:val="true"/>
        </w:rPr>
        <w:footnoteReference w:id="173"/>
      </w:r>
      <w:r>
        <w:rPr>
          <w:rFonts w:ascii="IRNazanin" w:hAnsi="IRNazanin" w:eastAsia="IRNazanin"/>
          <w:color w:val="111111"/>
          <w:sz w:val="28"/>
          <w:sz w:val="28"/>
          <w:szCs w:val="28"/>
          <w:rtl w:val="true"/>
          <w:lang w:bidi="fa-IR"/>
        </w:rPr>
        <w:t>، إلی هذا القول، وفی مقابل هذین القولین هنا قولٌ ثالث وهو لزوم عدّ الأضلاع</w:t>
      </w:r>
      <w:r>
        <w:rPr>
          <w:rStyle w:val="FootnoteAnchor"/>
          <w:rtl w:val="true"/>
        </w:rPr>
        <w:footnoteReference w:id="174"/>
      </w:r>
      <w:r>
        <w:rPr>
          <w:rFonts w:ascii="IRNazanin" w:hAnsi="IRNazanin" w:eastAsia="IRNazanin"/>
          <w:color w:val="111111"/>
          <w:sz w:val="28"/>
          <w:sz w:val="28"/>
          <w:szCs w:val="28"/>
          <w:rtl w:val="true"/>
          <w:lang w:bidi="fa-IR"/>
        </w:rPr>
        <w:t>، استناداً إلی روایة ضعیفة، فراجع</w:t>
      </w:r>
      <w:r>
        <w:rPr>
          <w:rFonts w:eastAsia="IRNazanin" w:cs="IRNazanin"/>
          <w:color w:val="111111"/>
          <w:sz w:val="28"/>
          <w:szCs w:val="28"/>
          <w:rtl w:val="true"/>
          <w:lang w:bidi="fa-IR"/>
        </w:rPr>
        <w:t>.</w:t>
      </w:r>
    </w:p>
    <w:p>
      <w:pPr>
        <w:pStyle w:val="Heading6"/>
        <w:numPr>
          <w:ilvl w:val="5"/>
          <w:numId w:val="1"/>
        </w:numPr>
        <w:rPr/>
      </w:pPr>
      <w:bookmarkStart w:id="197" w:name="__RefHeading___Toc1920298_581953129"/>
      <w:bookmarkStart w:id="198" w:name="_Toc78"/>
      <w:bookmarkEnd w:id="197"/>
      <w:r>
        <w:rPr>
          <w:rtl w:val="true"/>
        </w:rPr>
        <w:t>العنوان السابع</w:t>
      </w:r>
      <w:r>
        <w:rPr>
          <w:rtl w:val="true"/>
        </w:rPr>
        <w:t xml:space="preserve">: </w:t>
      </w:r>
      <w:r>
        <w:rPr>
          <w:rtl w:val="true"/>
        </w:rPr>
        <w:t>ما ورد فی عتق المملوک</w:t>
      </w:r>
      <w:bookmarkEnd w:id="19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العنوان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عتق المملوک؛ وهی روایة یونس المرویّة فی الکافی فی رجل قال لممالیکه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علّمنی آیة من کتاب</w:t>
      </w:r>
      <w:bookmarkStart w:id="199" w:name="pg5448_41268"/>
    </w:p>
    <w:p>
      <w:pPr>
        <w:pStyle w:val="BookText"/>
        <w:rPr/>
      </w:pPr>
      <w:bookmarkEnd w:id="199"/>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حرّ، فعلّمه واحد منهم، ثمّ مات المولی، ولم یدر أیّهم الذی علّمه الآیة، هل یستخرج بالقرعة؟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ولا یجوز أن یستخرجه أحد إلّاالإمام؛ فإنّ له کلاماً وقت القرعة یقوله ودعاءً لا یعلمه سواه، ولا یقتدر علیه غیره</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0" w:name="__RefHeading___Toc1920300_581953129"/>
      <w:bookmarkStart w:id="201" w:name="_Toc79"/>
      <w:bookmarkEnd w:id="200"/>
      <w:r>
        <w:rPr>
          <w:rtl w:val="true"/>
        </w:rPr>
        <w:t>العنوان الثامن</w:t>
      </w:r>
      <w:r>
        <w:rPr>
          <w:rtl w:val="true"/>
        </w:rPr>
        <w:t xml:space="preserve">: </w:t>
      </w:r>
      <w:r>
        <w:rPr>
          <w:rtl w:val="true"/>
        </w:rPr>
        <w:t>ما ورد فی مال أتی أمیر المؤمنین من إصفهان</w:t>
      </w:r>
      <w:bookmarkEnd w:id="201"/>
    </w:p>
    <w:p>
      <w:pPr>
        <w:pStyle w:val="BookText"/>
        <w:rPr/>
      </w:pPr>
      <w:r>
        <w:rPr>
          <w:rFonts w:ascii="IRNazanin" w:hAnsi="IRNazanin" w:eastAsia="IRNazanin"/>
          <w:color w:val="111111"/>
          <w:sz w:val="28"/>
          <w:sz w:val="28"/>
          <w:szCs w:val="28"/>
          <w:rtl w:val="true"/>
          <w:lang w:bidi="fa-IR"/>
        </w:rPr>
        <w:t>العنوان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مال أتی أمیر المؤمنین علیه السلام من أصبهان، وقسّمه بین سبعة من أُمراء الکوفة، وقد ذکره صاحب الغارات إبراهیم بن محمّد الثقفی عن ابن الإصفهانی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شقیق بن عتیبة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شقیق بن عیینة؛ وهو من فقهاء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عاصم بن کلیب الجَرمی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علیّاً علیه السلام مال من إصفهان فقسّمه فوجد فیه رغیفاً، فکسّره سبع کسر ثمّ جعل علی کلّ جزء منه کِسْرَة، ثمّ دعا أُمراء الأسباع فأقرع بینهم أیّهم یعطیه أوّلاً، وکانت الکوفة یومئذٍ أسباعاً</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2" w:name="__RefHeading___Toc1920302_581953129"/>
      <w:bookmarkStart w:id="203" w:name="_Toc80"/>
      <w:bookmarkEnd w:id="202"/>
      <w:r>
        <w:rPr>
          <w:rtl w:val="true"/>
        </w:rPr>
        <w:t>العنوان التاسع</w:t>
      </w:r>
      <w:r>
        <w:rPr>
          <w:rtl w:val="true"/>
        </w:rPr>
        <w:t xml:space="preserve">: </w:t>
      </w:r>
      <w:r>
        <w:rPr>
          <w:rtl w:val="true"/>
        </w:rPr>
        <w:t>ما ورد فی مساهمة رسول اللّه صلی الله علیه و آله قریشاً فی بناء البیت</w:t>
      </w:r>
      <w:bookmarkEnd w:id="203"/>
    </w:p>
    <w:p>
      <w:pPr>
        <w:pStyle w:val="BookText"/>
        <w:rPr/>
      </w:pPr>
      <w:r>
        <w:rPr>
          <w:rFonts w:ascii="IRNazanin" w:hAnsi="IRNazanin" w:eastAsia="IRNazanin"/>
          <w:color w:val="111111"/>
          <w:sz w:val="28"/>
          <w:sz w:val="28"/>
          <w:szCs w:val="28"/>
          <w:rtl w:val="true"/>
          <w:lang w:bidi="fa-IR"/>
        </w:rPr>
        <w:t>العنوان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مساهمة رسول اللّه صلی الله علیه و آله قریشاً فی بناء البیت؛ 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 عن أبیه، عن أحمد بن محمّد بن أبی نصر، عن داود بن سرحان، عن أبی عبد اللّه علیه السلام قال</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ساهم قریشاً فی بناء البیت، فصار لرسول اللّه صلی الله علیه و آله من باب الکعبة إلی النصف ما بین</w:t>
      </w:r>
      <w:bookmarkStart w:id="204" w:name="pg5448_41269"/>
    </w:p>
    <w:p>
      <w:pPr>
        <w:pStyle w:val="BookText"/>
        <w:rPr/>
      </w:pPr>
      <w:bookmarkEnd w:id="204"/>
      <w:r>
        <w:rPr>
          <w:rFonts w:ascii="IRNazanin" w:hAnsi="IRNazanin" w:eastAsia="IRNazanin"/>
          <w:color w:val="111111"/>
          <w:sz w:val="28"/>
          <w:sz w:val="28"/>
          <w:szCs w:val="28"/>
          <w:rtl w:val="true"/>
          <w:lang w:bidi="fa-IR"/>
        </w:rPr>
        <w:t>الرکن الیمانی إلی الحجر الأسود</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5" w:name="__RefHeading___Toc1920304_581953129"/>
      <w:bookmarkStart w:id="206" w:name="_Toc81"/>
      <w:bookmarkEnd w:id="205"/>
      <w:r>
        <w:rPr>
          <w:rtl w:val="true"/>
        </w:rPr>
        <w:t>العنوان العاشر</w:t>
      </w:r>
      <w:r>
        <w:rPr>
          <w:rtl w:val="true"/>
        </w:rPr>
        <w:t xml:space="preserve">: </w:t>
      </w:r>
      <w:r>
        <w:rPr>
          <w:rtl w:val="true"/>
        </w:rPr>
        <w:t>ما ورد فی استعلام موسی علیه السلام النمّام بالقرعة بتعلیم من اللّه تعالی</w:t>
      </w:r>
      <w:bookmarkEnd w:id="206"/>
    </w:p>
    <w:p>
      <w:pPr>
        <w:pStyle w:val="BookText"/>
        <w:rPr/>
      </w:pPr>
      <w:r>
        <w:rPr>
          <w:rFonts w:ascii="IRNazanin" w:hAnsi="IRNazanin" w:eastAsia="IRNazanin"/>
          <w:color w:val="111111"/>
          <w:sz w:val="28"/>
          <w:sz w:val="28"/>
          <w:szCs w:val="28"/>
          <w:rtl w:val="true"/>
          <w:lang w:bidi="fa-IR"/>
        </w:rPr>
        <w:t>العنوان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صحیحاً فی استعلام موسی علیه السلام النمّام بالقرعة بتعلیم من اللّه؛ 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بن سعید فی کتاب الزهد عن صفوان بن یحیی، عن بعض أصحابه،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أوحی إلی موسی أنّ بعض أصحابک ینمّ علیک فاحذره،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لا أعرفه، فاخبرنی به حتّی أعرفه،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عبتُ علیه النمیمة، وتکلّفنی أن أکون نمّاماً؟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وکیف أصنع؟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فرّق أصحابک عشرة عشرة، ثمّ اقرع بینهم؛ فإنّ السهم یقع علی العشرة التی هو فیهم، ثمّ تفرّقهم وتقرع بینهم؛ فإنّ السهم یقع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الرجل أنّ السهام تقرع 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أنا صاحبک لا واللّه لا أعود أبداً</w:t>
      </w:r>
      <w:r>
        <w:rPr>
          <w:rFonts w:eastAsia="IRNazanin" w:cs="IRNazanin"/>
          <w:color w:val="111111"/>
          <w:sz w:val="28"/>
          <w:szCs w:val="28"/>
          <w:rtl w:val="true"/>
          <w:lang w:bidi="fa-IR"/>
        </w:rPr>
        <w:t>».</w:t>
      </w:r>
      <w:r>
        <w:rPr>
          <w:rStyle w:val="FootnoteAnchor"/>
          <w:rtl w:val="true"/>
        </w:rPr>
        <w:footnoteReference w:id="178"/>
      </w:r>
    </w:p>
    <w:p>
      <w:pPr>
        <w:pStyle w:val="Heading6"/>
        <w:numPr>
          <w:ilvl w:val="5"/>
          <w:numId w:val="1"/>
        </w:numPr>
        <w:rPr/>
      </w:pPr>
      <w:bookmarkStart w:id="207" w:name="__RefHeading___Toc1920306_581953129"/>
      <w:bookmarkStart w:id="208" w:name="_Toc82"/>
      <w:bookmarkEnd w:id="207"/>
      <w:r>
        <w:rPr>
          <w:rtl w:val="true"/>
        </w:rPr>
        <w:t>العنوان الحادی عشر</w:t>
      </w:r>
      <w:r>
        <w:rPr>
          <w:rtl w:val="true"/>
        </w:rPr>
        <w:t xml:space="preserve">: </w:t>
      </w:r>
      <w:r>
        <w:rPr>
          <w:rtl w:val="true"/>
        </w:rPr>
        <w:t>ما ورد فی اقتراعه صلی الله علیه و آله بین أهل الصّفة للبعث إلی غزوة السلاسل</w:t>
      </w:r>
      <w:bookmarkEnd w:id="208"/>
    </w:p>
    <w:p>
      <w:pPr>
        <w:pStyle w:val="BookText"/>
        <w:rPr/>
      </w:pPr>
      <w:r>
        <w:rPr>
          <w:rFonts w:ascii="IRNazanin" w:hAnsi="IRNazanin" w:eastAsia="IRNazanin"/>
          <w:color w:val="111111"/>
          <w:sz w:val="28"/>
          <w:sz w:val="28"/>
          <w:szCs w:val="28"/>
          <w:rtl w:val="true"/>
          <w:lang w:bidi="fa-IR"/>
        </w:rPr>
        <w:t>العنوان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اقتراعه صلی الله علیه و آله بین أهل الصِّفة للبعث إلی غزوة ذات السلاسل</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9" w:name="__RefHeading___Toc1920308_581953129"/>
      <w:bookmarkStart w:id="210" w:name="_Toc83"/>
      <w:bookmarkEnd w:id="209"/>
      <w:r>
        <w:rPr>
          <w:rtl w:val="true"/>
        </w:rPr>
        <w:t>العنوان الثانی عشر</w:t>
      </w:r>
      <w:r>
        <w:rPr>
          <w:rtl w:val="true"/>
        </w:rPr>
        <w:t xml:space="preserve">: </w:t>
      </w:r>
      <w:r>
        <w:rPr>
          <w:rtl w:val="true"/>
        </w:rPr>
        <w:t>ما ورد فی فقه المنسوب إلی الرضا علیه السلام فی باب الإشهاد</w:t>
      </w:r>
      <w:bookmarkEnd w:id="210"/>
    </w:p>
    <w:p>
      <w:pPr>
        <w:pStyle w:val="BookText"/>
        <w:rPr/>
      </w:pPr>
      <w:r>
        <w:rPr>
          <w:rFonts w:ascii="IRNazanin" w:hAnsi="IRNazanin" w:eastAsia="IRNazanin"/>
          <w:color w:val="111111"/>
          <w:sz w:val="28"/>
          <w:sz w:val="28"/>
          <w:szCs w:val="28"/>
          <w:rtl w:val="true"/>
          <w:lang w:bidi="fa-IR"/>
        </w:rPr>
        <w:t>العنوان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فقه المنسوب إلی الرّضا علیه السلام فی باب الشهادات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لا یتهیّأ فیه الإشهاد علیه؛ فإنّ الحق فیه الحقّ أن یستعمل فیه القرعة</w:t>
      </w:r>
      <w:r>
        <w:rPr>
          <w:rFonts w:eastAsia="IRNazanin" w:cs="IRNazanin"/>
          <w:color w:val="111111"/>
          <w:sz w:val="28"/>
          <w:szCs w:val="28"/>
          <w:rtl w:val="true"/>
          <w:lang w:bidi="fa-IR"/>
        </w:rPr>
        <w:t xml:space="preserve">». </w:t>
      </w:r>
      <w:r>
        <w:rPr>
          <w:rStyle w:val="FootnoteAnchor"/>
          <w:rtl w:val="true"/>
        </w:rPr>
        <w:footnoteReference w:id="180"/>
      </w:r>
      <w:bookmarkStart w:id="211" w:name="pg5448_41270"/>
    </w:p>
    <w:p>
      <w:pPr>
        <w:pStyle w:val="Heading6"/>
        <w:numPr>
          <w:ilvl w:val="5"/>
          <w:numId w:val="1"/>
        </w:numPr>
        <w:rPr/>
      </w:pPr>
      <w:bookmarkStart w:id="212" w:name="__RefHeading___Toc1920310_581953129"/>
      <w:bookmarkStart w:id="213" w:name="_Toc84"/>
      <w:bookmarkEnd w:id="211"/>
      <w:bookmarkEnd w:id="212"/>
      <w:r>
        <w:rPr>
          <w:rtl w:val="true"/>
        </w:rPr>
        <w:t>العنوان الثالث عشر</w:t>
      </w:r>
      <w:r>
        <w:rPr>
          <w:rtl w:val="true"/>
        </w:rPr>
        <w:t xml:space="preserve">: </w:t>
      </w:r>
      <w:r>
        <w:rPr>
          <w:rtl w:val="true"/>
        </w:rPr>
        <w:t>ما روی فی أن رجلاً من الأنصار أعتق ستّة عبید فی مرض</w:t>
      </w:r>
      <w:bookmarkEnd w:id="213"/>
    </w:p>
    <w:p>
      <w:pPr>
        <w:pStyle w:val="BookText"/>
        <w:rPr/>
      </w:pPr>
      <w:r>
        <w:rPr>
          <w:rFonts w:ascii="IRNazanin" w:hAnsi="IRNazanin" w:eastAsia="IRNazanin"/>
          <w:color w:val="111111"/>
          <w:sz w:val="28"/>
          <w:sz w:val="28"/>
          <w:szCs w:val="28"/>
          <w:rtl w:val="true"/>
          <w:lang w:bidi="fa-IR"/>
        </w:rPr>
        <w:t>العنوان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أنّ رجلاً من الأنصار أعتق ستّة أعبد فی مرض موته، ولا مال له غیرهم، فلمّا رفعت القضیّة إلی رسول اللّه صلی الله علیه و آله قسّمهم بالتعدیل، وأقرع بینهم، وأعتق اثنین بالقرعة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 السیّد ابن طاووس قدس سره عن حلیة أبی نعیم</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الروایات</w:t>
      </w:r>
      <w:r>
        <w:rPr>
          <w:rFonts w:eastAsia="IRNazanin" w:cs="IRNazanin"/>
          <w:color w:val="111111"/>
          <w:sz w:val="28"/>
          <w:szCs w:val="28"/>
          <w:rtl w:val="true"/>
          <w:lang w:bidi="fa-IR"/>
        </w:rPr>
        <w:t>.</w:t>
      </w:r>
    </w:p>
    <w:p>
      <w:pPr>
        <w:pStyle w:val="Heading3"/>
        <w:numPr>
          <w:ilvl w:val="2"/>
          <w:numId w:val="1"/>
        </w:numPr>
        <w:rPr/>
      </w:pPr>
      <w:bookmarkStart w:id="214" w:name="__RefHeading___Toc1920312_581953129"/>
      <w:bookmarkStart w:id="215" w:name="_Toc85"/>
      <w:bookmarkEnd w:id="214"/>
      <w:r>
        <w:rPr>
          <w:rtl w:val="true"/>
        </w:rPr>
        <w:t>الدلیل الثالث</w:t>
      </w:r>
      <w:r>
        <w:rPr>
          <w:rtl w:val="true"/>
        </w:rPr>
        <w:t xml:space="preserve">: </w:t>
      </w:r>
      <w:r>
        <w:rPr>
          <w:rtl w:val="true"/>
        </w:rPr>
        <w:t>الاجماع</w:t>
      </w:r>
      <w:bookmarkEnd w:id="215"/>
    </w:p>
    <w:p>
      <w:pPr>
        <w:pStyle w:val="Heading4"/>
        <w:numPr>
          <w:ilvl w:val="3"/>
          <w:numId w:val="1"/>
        </w:numPr>
        <w:rPr/>
      </w:pPr>
      <w:bookmarkStart w:id="216" w:name="__RefHeading___Toc1920314_581953129"/>
      <w:bookmarkStart w:id="217" w:name="_Toc86"/>
      <w:bookmarkEnd w:id="216"/>
      <w:r>
        <w:rPr>
          <w:rtl w:val="true"/>
        </w:rPr>
        <w:t>اشارة</w:t>
      </w:r>
      <w:bookmarkEnd w:id="217"/>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القولی والعملی والمنقول والمحصّل، وقد ادّعی بعض أنّ مشروعیّة القرعة من ضرورات المذهب</w:t>
      </w:r>
      <w:r>
        <w:rPr>
          <w:rFonts w:eastAsia="IRNazanin" w:cs="IRNazanin"/>
          <w:color w:val="111111"/>
          <w:sz w:val="28"/>
          <w:szCs w:val="28"/>
          <w:rtl w:val="true"/>
          <w:lang w:bidi="fa-IR"/>
        </w:rPr>
        <w:t>.</w:t>
      </w:r>
    </w:p>
    <w:p>
      <w:pPr>
        <w:pStyle w:val="Heading4"/>
        <w:numPr>
          <w:ilvl w:val="3"/>
          <w:numId w:val="1"/>
        </w:numPr>
        <w:rPr/>
      </w:pPr>
      <w:bookmarkStart w:id="218" w:name="__RefHeading___Toc1920316_581953129"/>
      <w:bookmarkStart w:id="219" w:name="_Toc87"/>
      <w:bookmarkEnd w:id="218"/>
      <w:r>
        <w:rPr>
          <w:rtl w:val="true"/>
        </w:rPr>
        <w:t>أمّا الاجماع المنقول</w:t>
      </w:r>
      <w:bookmarkEnd w:id="219"/>
    </w:p>
    <w:p>
      <w:pPr>
        <w:pStyle w:val="BookText"/>
        <w:rPr/>
      </w:pPr>
      <w:r>
        <w:rPr>
          <w:rFonts w:ascii="IRNazanin" w:hAnsi="IRNazanin" w:eastAsia="IRNazanin"/>
          <w:color w:val="111111"/>
          <w:sz w:val="28"/>
          <w:sz w:val="28"/>
          <w:szCs w:val="28"/>
          <w:rtl w:val="true"/>
          <w:lang w:bidi="fa-IR"/>
        </w:rPr>
        <w:t>أمّا المنقول، فقد نقل عن غیر واحد من العلماء، الاتّفاق علی مشروعیّة القرعة فی الجملة، والنقل مستفیض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ذکر الشیخ فی المبسوط</w:t>
      </w:r>
      <w:r>
        <w:rPr>
          <w:rStyle w:val="FootnoteAnchor"/>
          <w:rtl w:val="true"/>
        </w:rPr>
        <w:footnoteReference w:id="182"/>
      </w:r>
      <w:r>
        <w:rPr>
          <w:rFonts w:ascii="IRNazanin" w:hAnsi="IRNazanin" w:eastAsia="IRNazanin"/>
          <w:color w:val="111111"/>
          <w:sz w:val="28"/>
          <w:sz w:val="28"/>
          <w:szCs w:val="28"/>
          <w:rtl w:val="true"/>
          <w:lang w:bidi="fa-IR"/>
        </w:rPr>
        <w:t>أنّ القرعة فی تداعی الرّجلین فی ولدین من مقتضیات مذهبنا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من هذا الکلام أنّ جریان القرعة فی هذا الفرع من مقتضیات المذهب، ولا یستفاد جریانها فی جمیع الأُمور،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 أنّ کلّ أمر مجهول فیه القرعة</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فیه فی مسألة تقدیم الأسبق وروداً من المدّعیین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القرعة مذهبنا فی کلّ أمرٍ مجهول</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من کلامه فی الخلاف أنّ جریان</w:t>
      </w:r>
    </w:p>
    <w:p>
      <w:pPr>
        <w:pStyle w:val="BookText"/>
        <w:rPr/>
      </w:pPr>
      <w:r>
        <w:rPr>
          <w:rFonts w:ascii="IRNazanin" w:hAnsi="IRNazanin" w:eastAsia="IRNazanin"/>
          <w:color w:val="111111"/>
          <w:sz w:val="28"/>
          <w:sz w:val="28"/>
          <w:szCs w:val="28"/>
          <w:rtl w:val="true"/>
          <w:lang w:bidi="fa-IR"/>
        </w:rPr>
        <w:t>القرعة فی کلّ مجهول من مقتضی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الشهید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عندنا قولهم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أمرٍ مجهول فیه القرعة</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صاحب 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ظاهر فی الإجماع</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ما فی الفرق بین الکلمات، فالمستفاد من عبارة الشهید ادّعاء الإجماع علی ثبوت هذه الروایة، وفی الحقیقة لیس معقد الإجماع مشروعیّة القرعة فی جمیع الأُمور، بل معقده إنّما هو ورود هذه الروایة فی الشریعة، ولکن المستفاد من کلام الشیخ فی کتابیه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الحلّی فی سرائره فی باب سماع 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وإجماع القوم علی أنّ کلّ أمر مشکل ففیه القرعة</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مراده الإجماع علی ثبوت الروایة وصدورها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فالمرجع هی الروایة لا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فی هذا المورد لیس إلّاطریقاً لإثبات صدور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فاللّازم البحث عن مدی دلالة الروایة وعمومیّتها وتخصیصها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مورد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روی عن الأئمّة علیهم السلام وتواترت به الآثار وأجمعت علیه الشیعة الإمامیّة</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bookmarkStart w:id="220" w:name="pg5448_41272"/>
    </w:p>
    <w:p>
      <w:pPr>
        <w:pStyle w:val="BookText"/>
        <w:rPr/>
      </w:pPr>
      <w:bookmarkEnd w:id="220"/>
      <w:r>
        <w:rPr>
          <w:rFonts w:ascii="IRNazanin" w:hAnsi="IRNazanin" w:eastAsia="IRNazanin"/>
          <w:color w:val="111111"/>
          <w:sz w:val="28"/>
          <w:sz w:val="28"/>
          <w:szCs w:val="28"/>
          <w:rtl w:val="true"/>
          <w:lang w:bidi="fa-IR"/>
        </w:rPr>
        <w:t>وکیف کان، فلا خفاء فی تعدّد نقل الإجماع فی المقام</w:t>
      </w:r>
      <w:r>
        <w:rPr>
          <w:rFonts w:eastAsia="IRNazanin" w:cs="IRNazanin"/>
          <w:color w:val="111111"/>
          <w:sz w:val="28"/>
          <w:szCs w:val="28"/>
          <w:rtl w:val="true"/>
          <w:lang w:bidi="fa-IR"/>
        </w:rPr>
        <w:t>.</w:t>
      </w:r>
    </w:p>
    <w:p>
      <w:pPr>
        <w:pStyle w:val="Heading4"/>
        <w:numPr>
          <w:ilvl w:val="3"/>
          <w:numId w:val="1"/>
        </w:numPr>
        <w:rPr/>
      </w:pPr>
      <w:bookmarkStart w:id="221" w:name="__RefHeading___Toc1920318_581953129"/>
      <w:bookmarkStart w:id="222" w:name="_Toc88"/>
      <w:bookmarkEnd w:id="221"/>
      <w:r>
        <w:rPr>
          <w:rtl w:val="true"/>
        </w:rPr>
        <w:t>وأما الاجماع المحصّل</w:t>
      </w:r>
      <w:bookmarkEnd w:id="222"/>
    </w:p>
    <w:p>
      <w:pPr>
        <w:pStyle w:val="BookText"/>
        <w:rPr/>
      </w:pPr>
      <w:r>
        <w:rPr>
          <w:rFonts w:ascii="Amiri" w:hAnsi="Amiri" w:eastAsia="Amiri" w:cs="Amiri"/>
          <w:color w:val="111111"/>
          <w:sz w:val="28"/>
          <w:sz w:val="28"/>
          <w:szCs w:val="28"/>
          <w:rtl w:val="true"/>
          <w:lang w:bidi="ar-SA"/>
        </w:rPr>
        <w:t>وأمّا المحصّل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صاحب 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المحصّل من تتبّع الفتاوی بحیث لا یبقی فیه شکّ للفقیه فی کون العمل بالقرعة من الأُصول الشرعیّة فی المجهولات فی الجملة، بل مطلقاً</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فثبوته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مشروعیّة القرعة وکونها مرجعاً للتمیّز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للتمییز ن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والمعرفة فی الجملة ممّا لا شکّ فیه ولا شبهة تعتریه، کما یظهر لکلّ من تتبّع کلمات المتقدّمین والمتأخّرین فی کثیر من أبواب الفقه؛ فإنّه یراهم مجمعین علی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انعقاد الإجماع علی مشروعیّة القرعة أظهر ظاهر للفقهاء بل یمکن ادّعاء ضرورة المذهبیّة فیه أیضاً</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المحقّق البجنوردی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أظنّ أنّ أحداً من الإمامیّة ینکر اعتبارها فی الجملة</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مشروعیّة القرعة من موارد إمکان تحصیل الإجماع بین المتقدّمین، فلو لم یکن التحصیل فی کثیر من الموارد ممکناً ولکن فی القرعة بمکان من الإمکان کما لا یخفی علی المتتبّع، وعلی هذا لا بحث فی حجّیّة هذا الإجماع المحصّل</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المنقول، فقد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مدرکی أو محتمل المدرک، فلا</w:t>
      </w:r>
      <w:bookmarkStart w:id="223" w:name="pg5448_41273"/>
    </w:p>
    <w:p>
      <w:pPr>
        <w:pStyle w:val="BookText"/>
        <w:rPr/>
      </w:pPr>
      <w:bookmarkEnd w:id="223"/>
      <w:r>
        <w:rPr>
          <w:rFonts w:ascii="IRNazanin" w:hAnsi="IRNazanin" w:eastAsia="IRNazanin"/>
          <w:color w:val="111111"/>
          <w:sz w:val="28"/>
          <w:sz w:val="28"/>
          <w:szCs w:val="28"/>
          <w:rtl w:val="true"/>
          <w:lang w:bidi="fa-IR"/>
        </w:rPr>
        <w:t>أصالة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قطع النظر عن صحّة المبنی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عدم الاعتناء بالإجماعات المدرکی، وقد مرّ</w:t>
      </w:r>
      <w:r>
        <w:rPr>
          <w:rStyle w:val="FootnoteAnchor"/>
          <w:rtl w:val="true"/>
        </w:rPr>
        <w:footnoteReference w:id="192"/>
      </w:r>
      <w:r>
        <w:rPr>
          <w:rFonts w:ascii="IRNazanin" w:hAnsi="IRNazanin" w:eastAsia="IRNazanin"/>
          <w:color w:val="111111"/>
          <w:sz w:val="28"/>
          <w:sz w:val="28"/>
          <w:szCs w:val="28"/>
          <w:rtl w:val="true"/>
          <w:lang w:bidi="fa-IR"/>
        </w:rPr>
        <w:t xml:space="preserve">منّا فی البحث عن قاعدة الإلزام التردید فی صحّة هذا المبحث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بین الفقهاء مشروعیّة القرعة علی حدّ یکون عندهم من الضروریّات الواضحة، ولا یمکن القول بأنّ الأمر الضروری مدرکی أو محتمل المدرک، فإنّ الضروری مساوق لعدم لزوم الاستناد إلی دلیل خاصّ أو روایة خاصّة، ومشروعیّة القرعة کانت واضحة عندهم علی حدّ لو لم تکن فی البین روایة واحدة لقالوا مع ذلک بمشروعیّتها، فالإشکال من جهة المدرکیّة لیس بتامّ وإن ذهب إلیه والدنا المحقّق رضوان اللّه علیه فی قواعده</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 w:name="__RefHeading___Toc1920320_581953129"/>
      <w:bookmarkStart w:id="225" w:name="_Toc89"/>
      <w:bookmarkEnd w:id="224"/>
      <w:r>
        <w:rPr>
          <w:rtl w:val="true"/>
        </w:rPr>
        <w:t>الدلیل الرابع</w:t>
      </w:r>
      <w:r>
        <w:rPr>
          <w:rtl w:val="true"/>
        </w:rPr>
        <w:t xml:space="preserve">: </w:t>
      </w:r>
      <w:r>
        <w:rPr>
          <w:rtl w:val="true"/>
        </w:rPr>
        <w:t>سیرة العقلاء</w:t>
      </w:r>
      <w:bookmarkEnd w:id="225"/>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العقلاء علی نحو لم تکن من السِّیر المستحدثة، بل کانت قبل الإسلام أیضاً، فإنّ بناء العقلاء علی الرجوع إلی القرعة فی الأُمور المشکلة، وقد أمضاه الرسول صلی الله علیه و آله، کما ورد فی بعض الروایات أ نّه أمضاها وأقرّها فی الإسلام</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 نّه علی ذلک لم تکن مشروعیّة القرعة أمراً تأسیسیّاً، بل هی إمضائیّة تأییدیّة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صرّح السیّد الإمام الخمینی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المتتبّع فی الموارد المتقدّمة التی وردت فیه الأخبار الخاصّة، وکذا المتأمّل فی کلمات الأصحاب</w:t>
      </w:r>
      <w:bookmarkStart w:id="226" w:name="pg5448_41274"/>
    </w:p>
    <w:p>
      <w:pPr>
        <w:pStyle w:val="BookText"/>
        <w:rPr/>
      </w:pPr>
      <w:bookmarkEnd w:id="226"/>
      <w:r>
        <w:rPr>
          <w:rFonts w:ascii="IRNazanin" w:hAnsi="IRNazanin" w:eastAsia="IRNazanin"/>
          <w:color w:val="111111"/>
          <w:sz w:val="28"/>
          <w:sz w:val="28"/>
          <w:szCs w:val="28"/>
          <w:rtl w:val="true"/>
          <w:lang w:bidi="fa-IR"/>
        </w:rPr>
        <w:t>فی الموارد التی حکموا بالقرعة، یحصل له القطع بأنّ مصبّ القرعة فی الشریعة لیس إلّاما لدی العقلاء طابق النعل بالنعل</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ونلاحظ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الروایات السابقة جریان القرعة فی بعض الموارد التی لم یجر العقلاء فیه، کتعارض الشهود والبیّنتین؛ فإنّ بناء العقلاء فیه هو التساقط، کما أنّ العقلاء فی بعض الموارد یطبقون قاعدة العدل والإنصاف، کما فی مورد الاشتباه بین ولد الحُرّ والعبد، مع أنّ الروایة صرّحت بجریان القرعة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وفقاً للروایات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دائرة القرعة فی الشرع أوسع ممّا عند العقلاء، واجعل هذا فی ذکرک لکی ینفعک فی تشخیص مورد القرعة وموضوعها، فانتظر</w:t>
      </w:r>
      <w:r>
        <w:rPr>
          <w:rFonts w:eastAsia="IRNazanin" w:cs="IRNazanin"/>
          <w:color w:val="111111"/>
          <w:sz w:val="28"/>
          <w:szCs w:val="28"/>
          <w:rtl w:val="true"/>
          <w:lang w:bidi="fa-IR"/>
        </w:rPr>
        <w:t>.</w:t>
      </w:r>
    </w:p>
    <w:p>
      <w:pPr>
        <w:pStyle w:val="Heading3"/>
        <w:numPr>
          <w:ilvl w:val="2"/>
          <w:numId w:val="1"/>
        </w:numPr>
        <w:rPr/>
      </w:pPr>
      <w:bookmarkStart w:id="227" w:name="__RefHeading___Toc1920322_581953129"/>
      <w:bookmarkStart w:id="228" w:name="_Toc90"/>
      <w:bookmarkEnd w:id="227"/>
      <w:r>
        <w:rPr>
          <w:rtl w:val="true"/>
        </w:rPr>
        <w:t>الدلیل الخامس</w:t>
      </w:r>
      <w:r>
        <w:rPr>
          <w:rtl w:val="true"/>
        </w:rPr>
        <w:t xml:space="preserve">: </w:t>
      </w:r>
      <w:r>
        <w:rPr>
          <w:rtl w:val="true"/>
        </w:rPr>
        <w:t>العقل</w:t>
      </w:r>
      <w:bookmarkEnd w:id="228"/>
    </w:p>
    <w:p>
      <w:pPr>
        <w:pStyle w:val="Heading4"/>
        <w:numPr>
          <w:ilvl w:val="3"/>
          <w:numId w:val="1"/>
        </w:numPr>
        <w:rPr/>
      </w:pPr>
      <w:bookmarkStart w:id="229" w:name="__RefHeading___Toc1920324_581953129"/>
      <w:bookmarkStart w:id="230" w:name="_Toc91"/>
      <w:bookmarkEnd w:id="229"/>
      <w:r>
        <w:rPr>
          <w:rtl w:val="true"/>
        </w:rPr>
        <w:t>اشارة</w:t>
      </w:r>
      <w:bookmarkEnd w:id="230"/>
    </w:p>
    <w:p>
      <w:pPr>
        <w:pStyle w:val="BookText"/>
        <w:rPr/>
      </w:pP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یستفاد من کلمات بعض من الفحول کالشهید فی قواعده والمراغی فی عناوینه، الاستناد إلی حکم العقل فی مشروعیّة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القرعة عند تساوی الحقوق والمصالح، ووقوع التنازع دفعاً للضغائن والأحقادٍ و الرِّضا بما جرَت به الأقدار، وقضاء الملک الجبّار</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ففیها من المصلحة الملزمة بما لا یجوز للحکیم إهمالها وعدم التوجّه بها، فلابدّ من تشریعها</w:t>
      </w:r>
      <w:r>
        <w:rPr>
          <w:rFonts w:eastAsia="IRNazanin" w:cs="IRNazanin"/>
          <w:color w:val="111111"/>
          <w:sz w:val="28"/>
          <w:szCs w:val="28"/>
          <w:rtl w:val="true"/>
          <w:lang w:bidi="fa-IR"/>
        </w:rPr>
        <w:t>.</w:t>
      </w:r>
      <w:bookmarkStart w:id="231" w:name="pg5448_41275"/>
    </w:p>
    <w:p>
      <w:pPr>
        <w:pStyle w:val="BookText"/>
        <w:rPr/>
      </w:pPr>
      <w:bookmarkEnd w:id="231"/>
      <w:r>
        <w:rPr>
          <w:rFonts w:ascii="IRNazanin" w:hAnsi="IRNazanin" w:eastAsia="IRNazanin"/>
          <w:color w:val="111111"/>
          <w:sz w:val="28"/>
          <w:sz w:val="28"/>
          <w:szCs w:val="28"/>
          <w:rtl w:val="true"/>
          <w:lang w:bidi="fa-IR"/>
        </w:rPr>
        <w:t>وقال السیّد المراغی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من عدم امتیازه اختلال النظام والهرج والمرج، وینجرّ بقاؤه فی الجهالة إلی تعطیل الأحکام وإثارة الفتنة والفساد المطلوب حسم مادّتها فی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هذه الطریقة لطف عظیم حاسم لمادّة الجدال والنزاع من أصله</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ویستفاد من بعض الأعلام</w:t>
      </w:r>
      <w:r>
        <w:rPr>
          <w:rStyle w:val="FootnoteAnchor"/>
          <w:rtl w:val="true"/>
        </w:rPr>
        <w:footnoteReference w:id="198"/>
      </w:r>
      <w:r>
        <w:rPr>
          <w:rFonts w:ascii="IRNazanin" w:hAnsi="IRNazanin" w:eastAsia="IRNazanin"/>
          <w:color w:val="111111"/>
          <w:sz w:val="28"/>
          <w:sz w:val="28"/>
          <w:szCs w:val="28"/>
          <w:rtl w:val="true"/>
          <w:lang w:bidi="fa-IR"/>
        </w:rPr>
        <w:t>أیضاً صحّة هذا الاستدلال</w:t>
      </w:r>
      <w:r>
        <w:rPr>
          <w:rFonts w:eastAsia="IRNazanin" w:cs="IRNazanin"/>
          <w:color w:val="111111"/>
          <w:sz w:val="28"/>
          <w:szCs w:val="28"/>
          <w:rtl w:val="true"/>
          <w:lang w:bidi="fa-IR"/>
        </w:rPr>
        <w:t>.</w:t>
      </w:r>
    </w:p>
    <w:p>
      <w:pPr>
        <w:pStyle w:val="Heading4"/>
        <w:numPr>
          <w:ilvl w:val="3"/>
          <w:numId w:val="1"/>
        </w:numPr>
        <w:rPr/>
      </w:pPr>
      <w:bookmarkStart w:id="232" w:name="__RefHeading___Toc1920326_581953129"/>
      <w:bookmarkStart w:id="233" w:name="_Toc92"/>
      <w:bookmarkEnd w:id="232"/>
      <w:r>
        <w:rPr>
          <w:rtl w:val="true"/>
        </w:rPr>
        <w:t>معنی اختلال النظام</w:t>
      </w:r>
      <w:bookmarkEnd w:id="233"/>
    </w:p>
    <w:p>
      <w:pPr>
        <w:pStyle w:val="BookText"/>
        <w:rPr/>
      </w:pPr>
      <w:r>
        <w:rPr>
          <w:rFonts w:ascii="IRNazanin" w:hAnsi="IRNazanin" w:eastAsia="IRNazanin"/>
          <w:color w:val="111111"/>
          <w:sz w:val="28"/>
          <w:sz w:val="28"/>
          <w:szCs w:val="28"/>
          <w:rtl w:val="true"/>
          <w:lang w:bidi="fa-IR"/>
        </w:rPr>
        <w:t>ولا یخفی ما فی هذا الاستدلال من عدم لزوم الاختلال فی النظام فی فرض عدم مشروعیّة القرعة؛ فإنّ الدقّة فی موارد الروایات الواردة فی القرعة تهدینا إلی ذلک، فمَثَلاً لو لم تشرع القرعة فی مورد الخنثی المشکل، أو فی الغنم الموطوءة لکان ذلک موجباً لاختلال النظام، علی أنّ عنوان اختلال النظام عنوان مُبهَم جدّاً لا یمکن للفقیه الاعتماد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المراد من النظام؟ هل المراد النظام الموجود فی مدینة واحدة، أو فی بلد واحد، أو یکون المراد النظام الجاری فی جمیع البلاد بین جمیع الناس، فلیس هذا العنوان ملاکاً قابلاً للاعتماد، فهذا الدلیل مخدوش من حیث الکبری والصغری معاً</w:t>
      </w:r>
      <w:r>
        <w:rPr>
          <w:rFonts w:eastAsia="IRNazanin" w:cs="IRNazanin"/>
          <w:color w:val="111111"/>
          <w:sz w:val="28"/>
          <w:szCs w:val="28"/>
          <w:rtl w:val="true"/>
          <w:lang w:bidi="fa-IR"/>
        </w:rPr>
        <w:t>.</w:t>
      </w:r>
    </w:p>
    <w:p>
      <w:pPr>
        <w:pStyle w:val="Heading3"/>
        <w:numPr>
          <w:ilvl w:val="2"/>
          <w:numId w:val="1"/>
        </w:numPr>
        <w:rPr/>
      </w:pPr>
      <w:bookmarkStart w:id="234" w:name="__RefHeading___Toc1920328_581953129"/>
      <w:bookmarkStart w:id="235" w:name="_Toc93"/>
      <w:bookmarkEnd w:id="234"/>
      <w:r>
        <w:rPr>
          <w:rtl w:val="true"/>
        </w:rPr>
        <w:t>الدلیل السادس</w:t>
      </w:r>
      <w:r>
        <w:rPr>
          <w:rtl w:val="true"/>
        </w:rPr>
        <w:t xml:space="preserve">: </w:t>
      </w:r>
      <w:r>
        <w:rPr>
          <w:rtl w:val="true"/>
        </w:rPr>
        <w:t>السیرة المتشرّعة</w:t>
      </w:r>
      <w:bookmarkEnd w:id="235"/>
    </w:p>
    <w:p>
      <w:pPr>
        <w:pStyle w:val="BookText"/>
        <w:rPr/>
      </w:pPr>
      <w:r>
        <w:rPr>
          <w:rFonts w:ascii="IRNazanin" w:hAnsi="IRNazanin" w:eastAsia="IRNazanin"/>
          <w:color w:val="111111"/>
          <w:sz w:val="28"/>
          <w:sz w:val="28"/>
          <w:szCs w:val="28"/>
          <w:rtl w:val="true"/>
          <w:lang w:bidi="fa-IR"/>
        </w:rPr>
        <w:t>الدلیل السادس</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یستدلّ علیها بالسیرة الموجودة بین المتشرّعة المتّصلة بزمن المعصوم علیه السلام، والکلام والإشکال نفس الإشکال السابق فی الإجماع، فراجع ولا نعیده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ثبت إلی هنا أنّ العمدة فی الأدلّة هی الکتاب العزیز والروایات المتواترة فی المقام، وبعد ذلک فاللّازم البحث عن أُمور تنبیهیّة لکی یبیّن حقیقة القرعة فی الفقه والاستدلال، ونحن نذکرها فی طیّ أُمور</w:t>
      </w:r>
      <w:r>
        <w:rPr>
          <w:rFonts w:eastAsia="IRNazanin" w:cs="IRNazanin"/>
          <w:color w:val="111111"/>
          <w:sz w:val="28"/>
          <w:szCs w:val="28"/>
          <w:rtl w:val="true"/>
          <w:lang w:bidi="fa-IR"/>
        </w:rPr>
        <w:t>:</w:t>
      </w:r>
      <w:bookmarkStart w:id="236" w:name="pg5448_41277"/>
    </w:p>
    <w:p>
      <w:pPr>
        <w:pStyle w:val="Heading2"/>
        <w:numPr>
          <w:ilvl w:val="1"/>
          <w:numId w:val="1"/>
        </w:numPr>
        <w:rPr/>
      </w:pPr>
      <w:bookmarkStart w:id="237" w:name="__RefHeading___Toc1920330_581953129"/>
      <w:bookmarkStart w:id="238" w:name="_Toc94"/>
      <w:bookmarkEnd w:id="236"/>
      <w:bookmarkEnd w:id="237"/>
      <w:r>
        <w:rPr>
          <w:rtl w:val="true"/>
        </w:rPr>
        <w:t>التنبیهات</w:t>
      </w:r>
      <w:bookmarkEnd w:id="238"/>
    </w:p>
    <w:p>
      <w:pPr>
        <w:pStyle w:val="Heading3"/>
        <w:numPr>
          <w:ilvl w:val="2"/>
          <w:numId w:val="1"/>
        </w:numPr>
        <w:rPr/>
      </w:pPr>
      <w:bookmarkStart w:id="239" w:name="__RefHeading___Toc1920332_581953129"/>
      <w:bookmarkStart w:id="240" w:name="_Toc95"/>
      <w:bookmarkEnd w:id="239"/>
      <w:r>
        <w:rPr>
          <w:rtl w:val="true"/>
        </w:rPr>
        <w:t>الأوّل</w:t>
      </w:r>
      <w:r>
        <w:rPr>
          <w:rtl w:val="true"/>
        </w:rPr>
        <w:t xml:space="preserve">: </w:t>
      </w:r>
      <w:r>
        <w:rPr>
          <w:rtl w:val="true"/>
        </w:rPr>
        <w:t>فی محل جریان القرعة ومواردها</w:t>
      </w:r>
      <w:bookmarkEnd w:id="240"/>
    </w:p>
    <w:p>
      <w:pPr>
        <w:pStyle w:val="Heading4"/>
        <w:numPr>
          <w:ilvl w:val="3"/>
          <w:numId w:val="1"/>
        </w:numPr>
        <w:rPr/>
      </w:pPr>
      <w:bookmarkStart w:id="241" w:name="__RefHeading___Toc1920334_581953129"/>
      <w:bookmarkStart w:id="242" w:name="_Toc96"/>
      <w:bookmarkEnd w:id="241"/>
      <w:r>
        <w:rPr>
          <w:rtl w:val="true"/>
        </w:rPr>
        <w:t>اشارة</w:t>
      </w:r>
      <w:bookmarkEnd w:id="242"/>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القرعة جاریة فی جمیع الشبهات؛ سواء کانت حکمیّة أو موضوعیّة، بدویّة أو مقرونة بالعلم الإجمالی، أم لا؟ وهل المراد من العناوین الخمسة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المشکل، الملتبس، المشتبه، المجهول، المعضل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واحد، أم لا؟ وهل الموارد الخارجة عنها علی نحو التخصیص أو الاختصاص والتخصّص؟</w:t>
      </w:r>
    </w:p>
    <w:p>
      <w:pPr>
        <w:pStyle w:val="BookText"/>
        <w:rPr/>
      </w:pPr>
      <w:r>
        <w:rPr>
          <w:rFonts w:ascii="IRNazanin" w:hAnsi="IRNazanin" w:eastAsia="IRNazanin"/>
          <w:color w:val="111111"/>
          <w:sz w:val="28"/>
          <w:sz w:val="28"/>
          <w:szCs w:val="28"/>
          <w:rtl w:val="true"/>
          <w:lang w:bidi="fa-IR"/>
        </w:rPr>
        <w:t>ولنذکر أوّلاً کلمات الأعلام والملاحظة فیها حتّی ننتهی إلی ما هو الحقّ إن شاء اللّه تعالی</w:t>
      </w:r>
      <w:r>
        <w:rPr>
          <w:rFonts w:eastAsia="IRNazanin" w:cs="IRNazanin"/>
          <w:color w:val="111111"/>
          <w:sz w:val="28"/>
          <w:szCs w:val="28"/>
          <w:rtl w:val="true"/>
          <w:lang w:bidi="fa-IR"/>
        </w:rPr>
        <w:t>:</w:t>
      </w:r>
    </w:p>
    <w:p>
      <w:pPr>
        <w:pStyle w:val="Heading4"/>
        <w:numPr>
          <w:ilvl w:val="3"/>
          <w:numId w:val="1"/>
        </w:numPr>
        <w:rPr/>
      </w:pPr>
      <w:bookmarkStart w:id="243" w:name="__RefHeading___Toc1920336_581953129"/>
      <w:bookmarkStart w:id="244" w:name="_Toc97"/>
      <w:bookmarkEnd w:id="243"/>
      <w:r>
        <w:rPr>
          <w:rtl w:val="true"/>
        </w:rPr>
        <w:t>کلام المحقق العراقی</w:t>
      </w:r>
      <w:bookmarkEnd w:id="24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المحقّق العراقی</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ذهب إلی جریان القرعة فی الشبهات الموضوعیّة المقرونة بالعلم الإجمالی فی حقوق الناس فیما إذا لم یمکن الاحتیاط، ولا تجری فی الشبهات الحکمیّة مطلقاً، ولا فی</w:t>
      </w:r>
      <w:bookmarkStart w:id="245" w:name="pg5448_41278"/>
    </w:p>
    <w:p>
      <w:pPr>
        <w:pStyle w:val="BookText"/>
        <w:rPr/>
      </w:pPr>
      <w:bookmarkEnd w:id="245"/>
      <w:r>
        <w:rPr>
          <w:rFonts w:ascii="IRNazanin" w:hAnsi="IRNazanin" w:eastAsia="IRNazanin"/>
          <w:color w:val="111111"/>
          <w:sz w:val="28"/>
          <w:sz w:val="28"/>
          <w:szCs w:val="28"/>
          <w:rtl w:val="true"/>
          <w:lang w:bidi="fa-IR"/>
        </w:rPr>
        <w:t>الموضوعیّة البدویّة، ولا فی حقوق اللّه، ولا فی حقوق الناس فیما إذا کان الاحتیاط ممکناً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وملخّصه</w:t>
      </w:r>
      <w:r>
        <w:rPr>
          <w:rFonts w:eastAsia="IRNazanin" w:cs="IRNazanin"/>
          <w:color w:val="111111"/>
          <w:sz w:val="28"/>
          <w:szCs w:val="28"/>
          <w:rtl w:val="true"/>
          <w:lang w:bidi="fa-IR"/>
        </w:rPr>
        <w:t>:</w:t>
      </w:r>
    </w:p>
    <w:p>
      <w:pPr>
        <w:pStyle w:val="Heading4"/>
        <w:numPr>
          <w:ilvl w:val="3"/>
          <w:numId w:val="1"/>
        </w:numPr>
        <w:rPr/>
      </w:pPr>
      <w:bookmarkStart w:id="246" w:name="__RefHeading___Toc1920338_581953129"/>
      <w:bookmarkStart w:id="247" w:name="_Toc98"/>
      <w:bookmarkEnd w:id="246"/>
      <w:r>
        <w:rPr>
          <w:rtl w:val="true"/>
        </w:rPr>
        <w:t>افتراق العناوین الخمسة</w:t>
      </w:r>
      <w:r>
        <w:rPr>
          <w:rtl w:val="true"/>
        </w:rPr>
        <w:t xml:space="preserve">: </w:t>
      </w:r>
      <w:r>
        <w:rPr>
          <w:rtl w:val="true"/>
        </w:rPr>
        <w:t>المشکل، الملتبس، المشتبه، المجهول والمعضل</w:t>
      </w:r>
      <w:bookmarkEnd w:id="2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 قدس سره إلی وجود الفرق بین عنوان المشکل وسائر العناوین الواردة فی الأدلّة، وقد ذکر للمشکل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عبارة عن المبهم المحض الذی لا تعیّن له فی الواقع، وعلی هذا تکون القرعة من قبیل الواسطة فی الثبوت؛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القرعة تکون جزءاً للموضوع علی نحو الحیثیّة التقییدیّة، فبالقرعة یتعیّن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یصعب حلّه ویتحیّر المکلّف فی مقام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الفرق بینهما لیس إلّافی أنّ الأوّل تفسیر عقلی دقّی بخلاف الثانی فإنّه تفسیر عرفی له، ولا یتوهّم أنّ الفرق بینهما إنّما هو فی أ نّه علی الأوّل تکون القرعة من قبیل الواسطة فی الثبوت، بخلاف الثانی؛ فإنّه من قبیل الواسطة فی الإثبات؛ فإنّه لیس فی مقام تقسیم المشکل إلی قسمین ونوعین،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المشکل عدم وجود تعیّن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المجهول والمشتبه، فهو ما عرض له الحمل والاشتباه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له واقع معیّن، وتکون القرعة بالنسبة إلیه من قبیل الواسطة فی الإثبات؛ وهی موجبة للعلم بالواقع</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التعبیر الأوّل لا مجال للتعارض بین أدلّة القرعة والأدلّة الواردة فی الشبهات الحکمیّة والموضوعیّة بأقسامها؛</w:t>
      </w:r>
      <w:bookmarkStart w:id="248" w:name="pg5448_41279"/>
    </w:p>
    <w:p>
      <w:pPr>
        <w:pStyle w:val="BookText"/>
        <w:rPr/>
      </w:pPr>
      <w:bookmarkEnd w:id="248"/>
      <w:r>
        <w:rPr>
          <w:rFonts w:ascii="IRNazanin" w:hAnsi="IRNazanin" w:eastAsia="IRNazanin"/>
          <w:color w:val="111111"/>
          <w:sz w:val="28"/>
          <w:sz w:val="28"/>
          <w:szCs w:val="28"/>
          <w:rtl w:val="true"/>
          <w:lang w:bidi="fa-IR"/>
        </w:rPr>
        <w:t>فإنّه مع الأُصول الجاریة فیها یرتفع الإشکال ولا تصل النوبة إلی إجراء أدلّة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التعبیرین الآخرین، فلتوهّم التعارض مجال بدواً، ولکن عند الدقّة نصل إلی أنّ أدلّة القرعة جاریة فی الشبهات الموضوعیّة المقرونة بالعلم الإجمالی، ولا تجری فی سائر الموارد، کما سیتّضح</w:t>
      </w:r>
      <w:r>
        <w:rPr>
          <w:rFonts w:eastAsia="IRNazanin" w:cs="IRNazanin"/>
          <w:color w:val="111111"/>
          <w:sz w:val="28"/>
          <w:szCs w:val="28"/>
          <w:rtl w:val="true"/>
          <w:lang w:bidi="fa-IR"/>
        </w:rPr>
        <w:t>.</w:t>
      </w:r>
    </w:p>
    <w:p>
      <w:pPr>
        <w:pStyle w:val="Heading4"/>
        <w:numPr>
          <w:ilvl w:val="3"/>
          <w:numId w:val="1"/>
        </w:numPr>
        <w:rPr/>
      </w:pPr>
      <w:bookmarkStart w:id="249" w:name="__RefHeading___Toc1920340_581953129"/>
      <w:bookmarkStart w:id="250" w:name="_Toc99"/>
      <w:bookmarkEnd w:id="249"/>
      <w:r>
        <w:rPr>
          <w:rtl w:val="true"/>
        </w:rPr>
        <w:t>عدم جریان أدلّة القرعة فی الشبهات الحکمیة</w:t>
      </w:r>
      <w:bookmarkEnd w:id="25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السرّ فی عدم جریان أدلّة القرعة فی الشبهات الحکمیّة مطلقاً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مصبّ الشبهة الحکمیّة إنّما هو تشخیص الحکم والشک فیه، مع أنّ عنوان المجهول أو المشتبه فی أدلّة القرعة وصف لذات الشیء مع قطع النظر عن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أدلّة القرعة إنّما هو فی ما إذا کان الحکم معلوماً، وانطباق الحکم علی الموجود الخارجی أیضاً معلوماً، ولکن التردید والاشتباه یکون فی المنطبق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علیه تکون الشبهات الحکمیّة بدویّة کانت أو مقرونة بالعلم الإجمالی خارجة عن أدلّة القرعة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الشبهات الموضوعیّة البدویّة خارجة عن أدلّة القرعة؛ لأنّ الشکّ فیها إنّما هو فی أصل انطباق عنوان الحکم لا فی المنطبق علیه، فنشک فی أنّ هذا الشیء المعیّن الخارجی هل ینطبق علیه عنوان الخمر، أم لا؟ بینما أدلّة القرعة فیما إذا کانت العناوین منطبقة؛ فمثلاً نعلم ولو إجمالاً بانطباق عنوان الموطوءة علی أحد الغنمین، ولکن التردید إنّما هو فی المنطبق علیه</w:t>
      </w:r>
      <w:r>
        <w:rPr>
          <w:rFonts w:eastAsia="IRNazanin" w:cs="IRNazanin"/>
          <w:color w:val="111111"/>
          <w:sz w:val="28"/>
          <w:szCs w:val="28"/>
          <w:rtl w:val="true"/>
          <w:lang w:bidi="fa-IR"/>
        </w:rPr>
        <w:t>.</w:t>
      </w:r>
      <w:bookmarkStart w:id="251" w:name="pg5448_41280"/>
    </w:p>
    <w:p>
      <w:pPr>
        <w:pStyle w:val="Heading4"/>
        <w:numPr>
          <w:ilvl w:val="3"/>
          <w:numId w:val="1"/>
        </w:numPr>
        <w:rPr/>
      </w:pPr>
      <w:bookmarkStart w:id="252" w:name="__RefHeading___Toc1920342_581953129"/>
      <w:bookmarkStart w:id="253" w:name="_Toc100"/>
      <w:bookmarkEnd w:id="251"/>
      <w:bookmarkEnd w:id="252"/>
      <w:r>
        <w:rPr>
          <w:rtl w:val="true"/>
        </w:rPr>
        <w:t>تقسیم الشبهات الموضوعیّة المقرونة بالعلم الاجمالی إلی حقوق اللّه وحقوق الناس</w:t>
      </w:r>
      <w:bookmarkEnd w:id="253"/>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نّه قدس سره قسّم الشبهات الموضوعیّة المقرونة بالعلم الإجمالی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اللّه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الناس</w:t>
      </w:r>
      <w:r>
        <w:rPr>
          <w:rFonts w:eastAsia="IRNazanin" w:cs="IRNazanin"/>
          <w:color w:val="111111"/>
          <w:sz w:val="28"/>
          <w:szCs w:val="28"/>
          <w:rtl w:val="true"/>
          <w:lang w:bidi="fa-IR"/>
        </w:rPr>
        <w:t>.</w:t>
      </w:r>
    </w:p>
    <w:p>
      <w:pPr>
        <w:pStyle w:val="Heading4"/>
        <w:numPr>
          <w:ilvl w:val="3"/>
          <w:numId w:val="1"/>
        </w:numPr>
        <w:rPr/>
      </w:pPr>
      <w:bookmarkStart w:id="254" w:name="__RefHeading___Toc1920344_581953129"/>
      <w:bookmarkStart w:id="255" w:name="_Toc101"/>
      <w:bookmarkEnd w:id="254"/>
      <w:r>
        <w:rPr>
          <w:rtl w:val="true"/>
        </w:rPr>
        <w:t>مانعیّة العلم الاجمالی عن جریان القرعة فی موارد حقوق اللّه</w:t>
      </w:r>
      <w:bookmarkEnd w:id="255"/>
    </w:p>
    <w:p>
      <w:pPr>
        <w:pStyle w:val="BookText"/>
        <w:rPr/>
      </w:pPr>
      <w:r>
        <w:rPr>
          <w:rFonts w:ascii="IRNazanin" w:hAnsi="IRNazanin" w:eastAsia="IRNazanin"/>
          <w:color w:val="111111"/>
          <w:sz w:val="28"/>
          <w:sz w:val="28"/>
          <w:szCs w:val="28"/>
          <w:rtl w:val="true"/>
          <w:lang w:bidi="fa-IR"/>
        </w:rPr>
        <w:t>و الأوّل خارج عن أدلّة القرعة تخصیصاً لا تخصّصاً؛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لا قصور فی أدلّتها للشمول بالنسبة إلی حقوق اللّه، بل یکون المانع موجوداً؛ وهو العلم الإجمالی، والقاعدة المسلّمة الجاریة فی موارد العلم الإجمالی؛ وهی الاشتغال، ولا رافع للعلم الإجمالی إلّاأحد هذین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الانحلال، والبدلیّة، و شیء منهما لا یثبت بالقرعة، فبعد القرعة لا ینحلّ العلم الإجمالی؛ فإنّها لیست بأقوی من العلم التفصیلی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 نّه لا یوجب الانحلال فکذلک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فبالقرعة لا تثبت البدلیّة؛ لأ نّه بعدها یکون الاحتمال فی الطرف الآخر موجوداً، والقرعة لا تُعیّن أنّ ما خرج بها یکون نفس المعلوم بالإجمال؛ لأنّ غایة ما یستفاد منها التعبّد بأنّ الخارج هو الواقع، ولا یکون بمعنی عدم کون الطرف الآخر خارجاً عن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القرعة سواء کانت أمارة أو أصلاً تصیر موجباً للبدلیّة،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موارد حقوق اللّه یکون العلم الإجمالی مانعاً عن جریانها، فلا تجری القرعة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حقّ الناس؛ فهو علی ثلاثة أقسام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یمکن فیه الاحتیاط التامّ، فلا تجری فیه القرعة بنفس ما ذکره فی حقّ اللّه؛ فإنّ العلم الإجمالی مانع عن جریانها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إذا علمنا بأ نّه</w:t>
      </w:r>
    </w:p>
    <w:p>
      <w:pPr>
        <w:pStyle w:val="BookText"/>
        <w:rPr/>
      </w:pPr>
      <w:r>
        <w:rPr>
          <w:rFonts w:ascii="IRNazanin" w:hAnsi="IRNazanin" w:eastAsia="IRNazanin"/>
          <w:color w:val="111111"/>
          <w:sz w:val="28"/>
          <w:sz w:val="28"/>
          <w:szCs w:val="28"/>
          <w:rtl w:val="true"/>
          <w:lang w:bidi="fa-IR"/>
        </w:rPr>
        <w:t>إمّا أن یکون هذا الشیء المعیّن لزید، أو یکون ذاک الشیء الآخر للجمیع من قبیل المباحات العامّة، فیمکن الاحتیاط بدفع کلیهما إلی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یمکن فیه الاحتیاط التامّ، بل یتأتّی فیه التبعیض، فمثلاً نعلم بأنّ أحد هذین المالین لزید، والآخر لیس له التصرّف فیه؛ فإنّه لا یمکن دفعها إلیه؛ لاعتقاده بعدم جواز أخذهما معاً، فلا یجوز له الأخذ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التبعیض بإعطاء أحد المالین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یمکن فیه الاحتیاط أبداً، کالولد المردّد بین ثلاثة نفر، أو المال المردّد بین شخصین، فهذا هو مورد أدلّة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أ نّهم عملوا بالقرعة فیما کان من هذا القبیل ممّا یتعلّق بالحقوق والأموال، فالقرعة علی اعتقاده تجری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الشُّبهة موضوعیّة لا حکمیّة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مقرونة بالعلم الإجمالی لا بدویّة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فی حقوق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لم یمکن الاحتیاط لا تامّاً ولا ناقصاً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إنّه قال فی آخر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الوظیفة قد تقتضی العمل بمناط النصّ الوارد فی الدرهم الودعی من قاعدة العدل والإنصاف من التنصیف والتثلیث</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والنصّ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بإسناده عن السکونی، عن الصادق، عن أبیه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استودع رجلاً دینارین فاستودعه آخر</w:t>
      </w:r>
      <w:bookmarkStart w:id="256" w:name="pg5448_41282"/>
    </w:p>
    <w:p>
      <w:pPr>
        <w:pStyle w:val="BookText"/>
        <w:rPr/>
      </w:pPr>
      <w:bookmarkEnd w:id="256"/>
      <w:r>
        <w:rPr>
          <w:rFonts w:ascii="IRNazanin" w:hAnsi="IRNazanin" w:eastAsia="IRNazanin"/>
          <w:color w:val="111111"/>
          <w:sz w:val="28"/>
          <w:sz w:val="28"/>
          <w:szCs w:val="28"/>
          <w:rtl w:val="true"/>
          <w:lang w:bidi="fa-IR"/>
        </w:rPr>
        <w:t>دیناراً، فضاع دینار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صاحب الدینارین دیناراً، ویقسّم الآخر بینهما نصفین</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هذه القاعدة مقبولة عنده ومقدَّمة علی قاعدة القرعة</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7" w:name="__RefHeading___Toc1920346_581953129"/>
      <w:bookmarkStart w:id="258" w:name="_Toc102"/>
      <w:bookmarkEnd w:id="257"/>
      <w:r>
        <w:rPr>
          <w:rtl w:val="true"/>
        </w:rPr>
        <w:t>تشخیص موارد القرعة عن موارد التخییر وقاعدة العدل والإنصاف</w:t>
      </w:r>
      <w:bookmarkEnd w:id="258"/>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ولکن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تشخیص موارد القرعة عن موارد جریان الاحتیاط والتخییر وقاعدة العدل والإنصاف فی غایة الإشکال، ولنِعْمَ ما قیل من أ نّه لا یجوز العمل بالقرعة إلّافی مورد عمل الأصحاب بها</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 کلامه</w:t>
      </w:r>
      <w:r>
        <w:rPr>
          <w:rFonts w:eastAsia="IRNazanin" w:cs="IRNazanin"/>
          <w:color w:val="111111"/>
          <w:sz w:val="28"/>
          <w:szCs w:val="28"/>
          <w:rtl w:val="true"/>
          <w:lang w:bidi="fa-IR"/>
        </w:rPr>
        <w:t>.</w:t>
      </w:r>
    </w:p>
    <w:p>
      <w:pPr>
        <w:pStyle w:val="Heading4"/>
        <w:numPr>
          <w:ilvl w:val="3"/>
          <w:numId w:val="1"/>
        </w:numPr>
        <w:rPr/>
      </w:pPr>
      <w:bookmarkStart w:id="259" w:name="__RefHeading___Toc1920348_581953129"/>
      <w:bookmarkStart w:id="260" w:name="_Toc103"/>
      <w:bookmarkEnd w:id="259"/>
      <w:r>
        <w:rPr>
          <w:rtl w:val="true"/>
        </w:rPr>
        <w:t>کلام المحقق النائینی فی ذلک التشخیص</w:t>
      </w:r>
      <w:bookmarkEnd w:id="260"/>
    </w:p>
    <w:p>
      <w:pPr>
        <w:pStyle w:val="BookText"/>
        <w:rPr/>
      </w:pPr>
      <w:r>
        <w:rPr>
          <w:rFonts w:ascii="IRNazanin" w:hAnsi="IRNazanin" w:eastAsia="IRNazanin"/>
          <w:color w:val="111111"/>
          <w:sz w:val="28"/>
          <w:sz w:val="28"/>
          <w:szCs w:val="28"/>
          <w:rtl w:val="true"/>
          <w:lang w:bidi="fa-IR"/>
        </w:rPr>
        <w:t>ویستفاد من کلام النائینی أیضاً أنّ الوظیفة الأخذ بقاعدة العدل والإنصاف فیما إذا کان المشتبه من حقوق الناس، کما فی موارد اختلاف البیّنات عند تردّد الموضوع بین الشخصین أو الأشخاص، کما أنّ الوظیفة قد تقتضی الاحتیاط أو التخییر فی حقوق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کلّ من حقوق اللّه وحقوق الناس قد تقتضی الوظیفة القرعة، وقال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تشخیص موارد القرعة عن موارد الاحتیاط والتخییر وقاعدة العدل والإنصاف فی غایة الإشکال، ولذلک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bookmarkStart w:id="261" w:name="pg5448_41283"/>
    </w:p>
    <w:p>
      <w:pPr>
        <w:pStyle w:val="BookText"/>
        <w:rPr/>
      </w:pPr>
      <w:bookmarkEnd w:id="261"/>
      <w:r>
        <w:rPr>
          <w:rFonts w:ascii="IRNazanin" w:hAnsi="IRNazanin" w:eastAsia="IRNazanin"/>
          <w:color w:val="111111"/>
          <w:sz w:val="28"/>
          <w:sz w:val="28"/>
          <w:szCs w:val="28"/>
          <w:rtl w:val="true"/>
          <w:lang w:bidi="fa-IR"/>
        </w:rPr>
        <w:t>العمل بالقرعة إنّما یکون فی مورد عمل الأصحاب، ولا یجوز الأخذ بعموم أخبارها</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2" w:name="__RefHeading___Toc1920350_581953129"/>
      <w:bookmarkStart w:id="263" w:name="_Toc104"/>
      <w:bookmarkEnd w:id="262"/>
      <w:r>
        <w:rPr>
          <w:rtl w:val="true"/>
        </w:rPr>
        <w:t>الملاحظات الواردة علی المحقق العراقی</w:t>
      </w:r>
      <w:bookmarkEnd w:id="263"/>
    </w:p>
    <w:p>
      <w:pPr>
        <w:pStyle w:val="BookText"/>
        <w:rPr/>
      </w:pPr>
      <w:r>
        <w:rPr>
          <w:rFonts w:ascii="IRNazanin" w:hAnsi="IRNazanin" w:eastAsia="IRNazanin"/>
          <w:color w:val="111111"/>
          <w:sz w:val="28"/>
          <w:sz w:val="28"/>
          <w:szCs w:val="28"/>
          <w:rtl w:val="true"/>
          <w:lang w:bidi="fa-IR"/>
        </w:rPr>
        <w:t>الملاحظات الواردة علی العراقی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ذهب إلیه فی تفسیر المشکل، 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توهّم التعارض بین أدلّة القرعة من جانب، و الأدلّة الواردة فی جمیع الشبهات الحکمیّة والموضوعیّة بأقسامهما من جانب آخر، فنسأل أ نّه بناءً علیه لا یبقی مورد لأدلّة القرعة، وهذا التفسیر فی الواقع موجب لخلوّ الدلیل عن المورد الواحد، وهذا باطل وفاسد جدّاً،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یتوهّم أنّ المستفاد من کلامه أنّ مصبّ الأدلّة فی الأُصول العملیّة هو الإشکال الإثباتی، بینما مصبّ أدلّة القرعة بناءً علی التعبیر بالمشکل هو الإشکال الثبوتی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 نّه بعد الدقّة التامّة فی کلماته لا نستفید أ نّه قد قسّم المشکل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ثبوتیّ وإثباتیّ، کما أ نّه لا یستفاد من کلماته أنّ أدلّة الأُصول مصبّها هو الإشکال الإثباتی فقط، فتدبّر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قدس سره من أنّ الاشتباه إنّما هو وصف لذات الشیء لا لحکمه إنّما یأتی بناءً علی الاعتماد علی التعبیرات الواردة بهذا العنوان، مع أ نّه قد ورد فی روایات القرعة عنوان المجهول، وهذا العنوان کثیراً ما یأتی بالنسبة إلی حکم الشیء، ولا یکون وصفاً لذات الشیء</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یتأتّی فیما إذا کان الشیء مجهولاً من حیث الذات، وعلی کلّ حال أ نّه لم یتعرّض بالنسبة إلی العمومات التی دلّت علی جریان</w:t>
      </w:r>
    </w:p>
    <w:p>
      <w:pPr>
        <w:pStyle w:val="BookText"/>
        <w:rPr/>
      </w:pPr>
      <w:r>
        <w:rPr>
          <w:rFonts w:ascii="IRNazanin" w:hAnsi="IRNazanin" w:eastAsia="IRNazanin"/>
          <w:color w:val="111111"/>
          <w:sz w:val="28"/>
          <w:sz w:val="28"/>
          <w:szCs w:val="28"/>
          <w:rtl w:val="true"/>
          <w:lang w:bidi="fa-IR"/>
        </w:rPr>
        <w:t>القرعة فی کلّ مجهول، وهذه العمومات کما أ نّها شاملة للشبهات الموضوعیّة، فکذلک شاملة للحکمیّة أیضاً، فهل یوجد دلیل علی التقیید والتخصیص کالإجماع وغیره؟ فلیس فی کلماته جواب عن هذا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قد ذکر أنّ أدلّة القرعة لا قصور فیها من حیث الشمول للشبهات الموضوعیّة المقرونة بالعلم الإجمالی ولکن المانع موجود؛ وهو العلم الإجمالی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 الکلام؛ لأنّ النزاع فی هذه الشبهات فی أنّ العلم الإجمالی مانع عن جریان القرعة ومثبت لوجوب الاحتیاط، أم لا؟</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النزاع واقع فی أنّ القرعة هل تجری فی موارد العلم الإجمالی أو لا تجری؟</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الفرق بین حقوق اللّه و حقوق الناس فرقاً صحیحاً، ولیس عندنا وجهاً دقیقاً للفرق بینهما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العلم الإجمالی منجّزاً فلا فرق بینهما، ولا یتوهّم أ نّه قد یستفاد من أدلّة القرعة جریانها فی خصوص حقّ الناس؛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الروایات الواردة فیها لیست فی حقوق الناس، مثل ما ورد فی الخنثی المشکل من جهة جواز تغسیله بید الرجل أو المرأة</w:t>
      </w:r>
      <w:r>
        <w:rPr>
          <w:rStyle w:val="FootnoteAnchor"/>
          <w:rtl w:val="true"/>
        </w:rPr>
        <w:footnoteReference w:id="204"/>
      </w:r>
      <w:r>
        <w:rPr>
          <w:rFonts w:ascii="IRNazanin" w:hAnsi="IRNazanin" w:eastAsia="IRNazanin"/>
          <w:color w:val="111111"/>
          <w:sz w:val="28"/>
          <w:sz w:val="28"/>
          <w:szCs w:val="28"/>
          <w:rtl w:val="true"/>
          <w:lang w:bidi="fa-IR"/>
        </w:rPr>
        <w:t>، والتغسیل لیس من حقوق الناس، کما لایخفی</w:t>
      </w:r>
      <w:r>
        <w:rPr>
          <w:rFonts w:eastAsia="IRNazanin" w:cs="IRNazanin"/>
          <w:color w:val="111111"/>
          <w:sz w:val="28"/>
          <w:szCs w:val="28"/>
          <w:rtl w:val="true"/>
          <w:lang w:bidi="fa-IR"/>
        </w:rPr>
        <w:t>.</w:t>
      </w:r>
      <w:bookmarkStart w:id="264" w:name="pg5448_41285"/>
    </w:p>
    <w:p>
      <w:pPr>
        <w:pStyle w:val="BookText"/>
        <w:rPr/>
      </w:pPr>
      <w:bookmarkEnd w:id="264"/>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یستفاد من کلامه أ نّه فی موارد جریان قاعدة العدل والإنصاف لا تصل النوبة إلی جریان القرعة، مع أ نّه قد یوجد فی بعض الروایات مورد لجریان هذه القاعدة، و الإمام علیه السلام حکم بجریان القرعة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تقدّم</w:t>
      </w:r>
      <w:r>
        <w:rPr>
          <w:rStyle w:val="FootnoteAnchor"/>
          <w:rtl w:val="true"/>
        </w:rPr>
        <w:footnoteReference w:id="205"/>
      </w:r>
      <w:r>
        <w:rPr>
          <w:rFonts w:ascii="IRNazanin" w:hAnsi="IRNazanin" w:eastAsia="IRNazanin"/>
          <w:color w:val="111111"/>
          <w:sz w:val="28"/>
          <w:sz w:val="28"/>
          <w:szCs w:val="28"/>
          <w:rtl w:val="true"/>
          <w:lang w:bidi="fa-IR"/>
        </w:rPr>
        <w:t>فیما ذکره أبو حنیفة فی جواب الإمام الصادق علیه السلام فی قضیّة میراث الصبیّین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حُرّ والآخر مملوک لصاحبه، ولم یعرف الحرّ من المملوک، وقال أبو حنیفة یعتق نصف هذا ونصف ذاک ویقسم المال بینهما، وقال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کذلک، ولکنّه یقرَع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الظاهر أنّ کلام أبی حنیفة إنّما کان مبنیّاً علی قاعدة العدل والإنصاف، والإمام علیه السلام قد ردّه وحکم بالقرعة، فیستفاد تقدّم القرعة علی هذه القاعدة أیضاً</w:t>
      </w:r>
      <w:r>
        <w:rPr>
          <w:rFonts w:eastAsia="IRNazanin" w:cs="IRNazanin"/>
          <w:color w:val="111111"/>
          <w:sz w:val="28"/>
          <w:szCs w:val="28"/>
          <w:rtl w:val="true"/>
          <w:lang w:bidi="fa-IR"/>
        </w:rPr>
        <w:t>.</w:t>
      </w:r>
    </w:p>
    <w:p>
      <w:pPr>
        <w:pStyle w:val="Heading4"/>
        <w:numPr>
          <w:ilvl w:val="3"/>
          <w:numId w:val="1"/>
        </w:numPr>
        <w:rPr/>
      </w:pPr>
      <w:bookmarkStart w:id="265" w:name="__RefHeading___Toc1920352_581953129"/>
      <w:bookmarkStart w:id="266" w:name="_Toc105"/>
      <w:bookmarkEnd w:id="265"/>
      <w:r>
        <w:rPr>
          <w:rtl w:val="true"/>
        </w:rPr>
        <w:t>کلام صاحب العناوین السیّد المحقّق المراغی</w:t>
      </w:r>
      <w:r>
        <w:rPr>
          <w:rtl w:val="true"/>
        </w:rPr>
        <w:t>:</w:t>
      </w:r>
      <w:bookmarkEnd w:id="266"/>
    </w:p>
    <w:p>
      <w:pPr>
        <w:pStyle w:val="BookText"/>
        <w:rPr/>
      </w:pPr>
      <w:r>
        <w:rPr>
          <w:rStyle w:val="FootnoteAnchor"/>
          <w:rtl w:val="true"/>
        </w:rPr>
        <w:footnoteReference w:id="206"/>
      </w:r>
    </w:p>
    <w:p>
      <w:pPr>
        <w:pStyle w:val="Heading4"/>
        <w:numPr>
          <w:ilvl w:val="3"/>
          <w:numId w:val="1"/>
        </w:numPr>
        <w:rPr/>
      </w:pPr>
      <w:bookmarkStart w:id="267" w:name="__RefHeading___Toc1920354_581953129"/>
      <w:bookmarkStart w:id="268" w:name="_Toc106"/>
      <w:bookmarkEnd w:id="267"/>
      <w:r>
        <w:rPr>
          <w:rtl w:val="true"/>
        </w:rPr>
        <w:t>اتّحاد العناوین الخمسة معنی</w:t>
      </w:r>
      <w:bookmarkEnd w:id="2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نّه خلافاً لمن ذهب إلی وجود الفرق بین العناوین المتعدّدة فی روایات القرعة</w:t>
      </w:r>
      <w:r>
        <w:rPr>
          <w:rStyle w:val="FootnoteAnchor"/>
          <w:rtl w:val="true"/>
        </w:rPr>
        <w:footnoteReference w:id="207"/>
      </w:r>
      <w:r>
        <w:rPr>
          <w:rFonts w:ascii="IRNazanin" w:hAnsi="IRNazanin" w:eastAsia="IRNazanin"/>
          <w:color w:val="111111"/>
          <w:sz w:val="28"/>
          <w:sz w:val="28"/>
          <w:szCs w:val="28"/>
          <w:rtl w:val="true"/>
          <w:lang w:bidi="fa-IR"/>
        </w:rPr>
        <w:t>، ذهب إلی أنّ معنی المشکل والمجهول والمشتبه والملتبس والمعضل معنیً واحداً لیس بینها اختلاف</w:t>
      </w:r>
      <w:r>
        <w:rPr>
          <w:rFonts w:eastAsia="IRNazanin" w:cs="IRNazanin"/>
          <w:color w:val="111111"/>
          <w:sz w:val="28"/>
          <w:szCs w:val="28"/>
          <w:rtl w:val="true"/>
          <w:lang w:bidi="fa-IR"/>
        </w:rPr>
        <w:t>.</w:t>
      </w:r>
    </w:p>
    <w:p>
      <w:pPr>
        <w:pStyle w:val="Heading4"/>
        <w:numPr>
          <w:ilvl w:val="3"/>
          <w:numId w:val="1"/>
        </w:numPr>
        <w:rPr/>
      </w:pPr>
      <w:bookmarkStart w:id="269" w:name="__RefHeading___Toc1920356_581953129"/>
      <w:bookmarkStart w:id="270" w:name="_Toc107"/>
      <w:bookmarkEnd w:id="269"/>
      <w:r>
        <w:rPr>
          <w:rtl w:val="true"/>
        </w:rPr>
        <w:t>عمومیّة أدلّة القرعة وخروج الأصول عملیّة عنها تخصیصاً أو تخصصاً</w:t>
      </w:r>
      <w:bookmarkEnd w:id="27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ریب فی عموم أدلّة القرعة نصّاً وإجماعاً ولکن اللّازم تفسیر هذه العناوین الخمسة حتّی یستفاد أنّ موارد الأُصول العملیّة هل خارجة عنها تخصیصاً، أو اختصاصاً وتخصّصاً؟</w:t>
      </w:r>
    </w:p>
    <w:p>
      <w:pPr>
        <w:pStyle w:val="Heading4"/>
        <w:numPr>
          <w:ilvl w:val="3"/>
          <w:numId w:val="1"/>
        </w:numPr>
        <w:rPr/>
      </w:pPr>
      <w:bookmarkStart w:id="271" w:name="__RefHeading___Toc1920358_581953129"/>
      <w:bookmarkStart w:id="272" w:name="_Toc108"/>
      <w:bookmarkEnd w:id="271"/>
      <w:r>
        <w:rPr>
          <w:rtl w:val="true"/>
        </w:rPr>
        <w:t>کون القرعة آخر طریق لحلّ الاشکال</w:t>
      </w:r>
      <w:bookmarkEnd w:id="27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قدس سره ذهب إلی أنّ المستفاد من أدلّة القرعة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إذا لم یکن</w:t>
      </w:r>
      <w:bookmarkStart w:id="273" w:name="pg5448_41286"/>
    </w:p>
    <w:p>
      <w:pPr>
        <w:pStyle w:val="BookText"/>
        <w:rPr/>
      </w:pPr>
      <w:bookmarkEnd w:id="273"/>
      <w:r>
        <w:rPr>
          <w:rFonts w:ascii="IRNazanin" w:hAnsi="IRNazanin" w:eastAsia="IRNazanin"/>
          <w:color w:val="111111"/>
          <w:sz w:val="28"/>
          <w:sz w:val="28"/>
          <w:szCs w:val="28"/>
          <w:rtl w:val="true"/>
          <w:lang w:bidi="fa-IR"/>
        </w:rPr>
        <w:t>طریق معتبر شرعاً لرفع الجهل و الإشکال فیصیر مشتبهاً، فمتی کان له سبیل مثبت لم یکن من الإشکال والاشتباه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یری أنّ القرعة إنّما هی آخر طریق لحلّ الإشکال، وإذا کان فی البین طریقٌ آخر لحلّ الإشکال فلا تصل النوبة إلی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ولإثبات هذه الدعوی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المشتبهات علی أقسام ثلاثة، والقسم الثالث منها أیضاً ینقسم إلی ثلاثة أقسام</w:t>
      </w:r>
      <w:r>
        <w:rPr>
          <w:rFonts w:eastAsia="IRNazanin" w:cs="IRNazanin"/>
          <w:color w:val="111111"/>
          <w:sz w:val="28"/>
          <w:szCs w:val="28"/>
          <w:rtl w:val="true"/>
          <w:lang w:bidi="fa-IR"/>
        </w:rPr>
        <w:t>:</w:t>
      </w:r>
    </w:p>
    <w:p>
      <w:pPr>
        <w:pStyle w:val="Heading4"/>
        <w:numPr>
          <w:ilvl w:val="3"/>
          <w:numId w:val="1"/>
        </w:numPr>
        <w:rPr/>
      </w:pPr>
      <w:bookmarkStart w:id="274" w:name="__RefHeading___Toc1920360_581953129"/>
      <w:bookmarkStart w:id="275" w:name="_Toc109"/>
      <w:bookmarkEnd w:id="274"/>
      <w:r>
        <w:rPr>
          <w:rtl w:val="true"/>
        </w:rPr>
        <w:t>عدم جریان القرعة فی الشبهات الحکمیّة</w:t>
      </w:r>
      <w:bookmarkEnd w:id="27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الشبهات الحکمیّة، فاللازم فیها الرجوع إلی الأُصول العملیّة، کالبراءة والاحتیاط والاستصحاب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دلیل البراءة ودلیل القرعة؟ فإنّ موردهما عنوان المجهول؛ لأنّ المستفاد من أدلّة البراءة جریانها فی کلّ مجهول،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ما لا یعلمون مساوق لعنوان الجهل، وعلی هذا ما الفرق بینها، وبین أدلّة القرعة؟</w:t>
      </w:r>
    </w:p>
    <w:p>
      <w:pPr>
        <w:pStyle w:val="BookText"/>
        <w:rPr/>
      </w:pPr>
      <w:r>
        <w:rPr>
          <w:rFonts w:ascii="Amiri" w:hAnsi="Amiri" w:eastAsia="Amiri" w:cs="Amiri"/>
          <w:color w:val="111111"/>
          <w:sz w:val="28"/>
          <w:sz w:val="28"/>
          <w:szCs w:val="28"/>
          <w:rtl w:val="true"/>
          <w:lang w:bidi="ar-SA"/>
        </w:rPr>
        <w:t>فأجاب بوجوه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النسبة بینهما هی العموم والخصوص المطلق؛ فإنّ أدلّة القرعة أعمّ مطلق تدلّ علی جریان القرعة؛ سواء کانت البراءة جاریة فیها أم لا، وأدلّة البراءة خاصّة فتقدّم علیها وتکون النتیجة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کلّ مجهول قرعة إلّافیما تجری البراءة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نسلّم اتّحاد الموضوع والمورد بینهما، فموضوع أدلّة البراءة لیس عنوان المجهول، بل بین هذا العنوان، وعنوان ما لا</w:t>
      </w:r>
      <w:bookmarkStart w:id="276" w:name="pg5448_41287"/>
    </w:p>
    <w:p>
      <w:pPr>
        <w:pStyle w:val="BookText"/>
        <w:rPr/>
      </w:pPr>
      <w:bookmarkEnd w:id="276"/>
      <w:r>
        <w:rPr>
          <w:rFonts w:ascii="IRNazanin" w:hAnsi="IRNazanin" w:eastAsia="IRNazanin"/>
          <w:color w:val="111111"/>
          <w:sz w:val="28"/>
          <w:sz w:val="28"/>
          <w:szCs w:val="28"/>
          <w:rtl w:val="true"/>
          <w:lang w:bidi="fa-IR"/>
        </w:rPr>
        <w:t>یعلمون، أو ما لم یرد فیه أمرٌ و نهی، فرقٌ واضح، کما أنّنا عند المراجعة إلی العرف نصل إلی الفرق الواضح بین عنوان المشکل، وعنوان 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القرعة ظاهرة فی الموضوعات الخارجیّة المشتبهة، وارتکاز العرف فی کلّ أمرٍ مشتبه لیس إلّاهذا المعنی؛ وإن کان لفظ الأمر عامّاً شاملاً للحکم والموضوع معاً، ولکن عنوان المشتبه عند العرف مختصّ بالموضوعات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غضّ النظر عن الوجوه السابقة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 دلیلان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البراءة ودلیل القرعة، ولا شکّ فی تقدیم دلیل البراءة، فإنّه أقرب إلی الشریعة السمحة السهلة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دلیل الاستصحاب والاحتیاط لا یصحّ هذا الکلام، ولکن نقول بتقدیمهما علی القرعة أیضاً من جهة وجود الإجماع؛ فإنّه قائم علی عدم جریانها فی الأحکام، کما صرّح به الشهید الأوّل فی القواعد والفوائد من أ نّها لا تستعمل فی الفتاوی و الأحکام المشتبهة إجماعاً</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قدس سره قد التجأ إلی الإجماع لعدم جریان القرعة فی الأحکام والشبهات الحکمیّة</w:t>
      </w:r>
      <w:r>
        <w:rPr>
          <w:rFonts w:eastAsia="IRNazanin" w:cs="IRNazanin"/>
          <w:color w:val="111111"/>
          <w:sz w:val="28"/>
          <w:szCs w:val="28"/>
          <w:rtl w:val="true"/>
          <w:lang w:bidi="fa-IR"/>
        </w:rPr>
        <w:t>.</w:t>
      </w:r>
    </w:p>
    <w:p>
      <w:pPr>
        <w:pStyle w:val="Heading4"/>
        <w:numPr>
          <w:ilvl w:val="3"/>
          <w:numId w:val="1"/>
        </w:numPr>
        <w:rPr/>
      </w:pPr>
      <w:bookmarkStart w:id="277" w:name="__RefHeading___Toc1920362_581953129"/>
      <w:bookmarkStart w:id="278" w:name="_Toc110"/>
      <w:bookmarkEnd w:id="277"/>
      <w:r>
        <w:rPr>
          <w:rtl w:val="true"/>
        </w:rPr>
        <w:t>عدم جریان القرعة فی الشبهات الموضوعیّة المستبطة</w:t>
      </w:r>
      <w:bookmarkEnd w:id="278"/>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الشبهات الموضوعیّة المستنبطة، کالشبهة فی أنّ الموضوع له لهذا اللّفظ هل هو هذا أو ذاک؟</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تجری القرعة فی هذه الموارد أیضاً؛ لأنّ لحلّها إمّا أن یلزم</w:t>
      </w:r>
      <w:bookmarkStart w:id="279" w:name="pg5448_41288"/>
    </w:p>
    <w:p>
      <w:pPr>
        <w:pStyle w:val="BookText"/>
        <w:rPr/>
      </w:pPr>
      <w:bookmarkEnd w:id="279"/>
      <w:r>
        <w:rPr>
          <w:rFonts w:ascii="IRNazanin" w:hAnsi="IRNazanin" w:eastAsia="IRNazanin"/>
          <w:color w:val="111111"/>
          <w:sz w:val="28"/>
          <w:sz w:val="28"/>
          <w:szCs w:val="28"/>
          <w:rtl w:val="true"/>
          <w:lang w:bidi="fa-IR"/>
        </w:rPr>
        <w:t>الرجوع إلی العرف أو اللّغة، أو سائر الأمارات المرتبطة بها، والعرف لا تجری القرعة فی فهم معانی الألفاظ</w:t>
      </w:r>
      <w:r>
        <w:rPr>
          <w:rFonts w:eastAsia="IRNazanin" w:cs="IRNazanin"/>
          <w:color w:val="111111"/>
          <w:sz w:val="28"/>
          <w:szCs w:val="28"/>
          <w:rtl w:val="true"/>
          <w:lang w:bidi="fa-IR"/>
        </w:rPr>
        <w:t>.</w:t>
      </w:r>
    </w:p>
    <w:p>
      <w:pPr>
        <w:pStyle w:val="Heading4"/>
        <w:numPr>
          <w:ilvl w:val="3"/>
          <w:numId w:val="1"/>
        </w:numPr>
        <w:rPr/>
      </w:pPr>
      <w:bookmarkStart w:id="280" w:name="__RefHeading___Toc1920364_581953129"/>
      <w:bookmarkStart w:id="281" w:name="_Toc111"/>
      <w:bookmarkEnd w:id="280"/>
      <w:r>
        <w:rPr>
          <w:rtl w:val="true"/>
        </w:rPr>
        <w:t>عدم جریان القرعة فی قسمین من الشبهات الموضوعیّة الصرفه وجریانها فی قسم واحد منها</w:t>
      </w:r>
      <w:bookmarkEnd w:id="281"/>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الشبهات الموضوعیّة الصرفة، وهی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مجری الأصل من الأُصول العملیّة، کأصالة البراءة والاستصحاب وغیرهما، فلا تجری فیه القرعة بنفس الدلیل الذی مرّ فی الشبهات الحکمیّة؛ فإنّه مع جریان الأصل یرتفع الإشکال وینتفی موضوع القرعة، ونقول بذلک حتّی فی الشبهات المحصورة؛ فإنّه مع جریان الاحتیاط لا مجال لجریان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فی البین الروایة التی دلّت علی جریان القرعة فی الغنم الموطوءة المشتبهة</w:t>
      </w:r>
      <w:r>
        <w:rPr>
          <w:rStyle w:val="FootnoteAnchor"/>
          <w:rtl w:val="true"/>
        </w:rPr>
        <w:footnoteReference w:id="209"/>
      </w:r>
      <w:r>
        <w:rPr>
          <w:rFonts w:ascii="IRNazanin" w:hAnsi="IRNazanin" w:eastAsia="IRNazanin"/>
          <w:color w:val="111111"/>
          <w:sz w:val="28"/>
          <w:sz w:val="28"/>
          <w:szCs w:val="28"/>
          <w:rtl w:val="true"/>
          <w:lang w:bidi="fa-IR"/>
        </w:rPr>
        <w:t>، مع أ نّه من موارد جریان الاحتیاط، فنقول بوجوه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ظاهرة فی الشُّبهة غیر المحصورة، ولا یجب الاجتناب عن أطرافها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حسب الروایة یستحبّ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فرضنا أنّ الروایة من موارد الشُّبهة المحصورة 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أخصّ عن قاعدة الاشتغال، فیقدّم علیها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الفرق بین الموردین؛ فإنّ فی مورد الغنم یکون الاجتناب عن جمیع الأطراف موجباً لتضییع المال، ویکون ضرراً کبیراً علی أرباب الغنم، بخلاف سائر موارد الشبهات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التعدّی عن مورد الروایة إلی ما یکون الاختلاط بین المذکّی و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جریان القرعة فی أحد الأطراف فی الشبهات المحصورة یتعیّن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لجریان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القرعة جاریة فیما إذا کان الموضوع مشکلاً، ولیس الداعی فیها معرفة الموضوع، بخلاف الاحتیاط؛ فإنّ الداعی فیه معرفة الحکم، فمع جریان الاشتغال تصل إلی نتیجة من حیث الحکم ولا دخل للاحتیاط من جهة تعیین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مورد الاحتیاط إذا کان الداعی معرفة الموضوع فتجری القرعة لتشخیصه، فمثلاً فی مورد الغنم الموطوءة حسب القاعدة تجری الاحتیاط، ولکن إذا نذر شخصاً لأن یتصدّق بغیر الموطوء، فبالقرعة یتعیّن الموطوءة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الشبهات الموضوعیّة التی لا تجری فیها الأُصول العملیّة، لکنّه قام الدلیل فیه علی الأخذ بأحد الطرفین أو الأطراف، کما ورد فی تراجیح أ ئمّة الجماعة من النصّ علی تقدیم الأفقه</w:t>
      </w:r>
      <w:r>
        <w:rPr>
          <w:rStyle w:val="FootnoteAnchor"/>
          <w:rtl w:val="true"/>
        </w:rPr>
        <w:footnoteReference w:id="210"/>
      </w:r>
      <w:r>
        <w:rPr>
          <w:rFonts w:ascii="IRNazanin" w:hAnsi="IRNazanin" w:eastAsia="IRNazanin"/>
          <w:color w:val="111111"/>
          <w:sz w:val="28"/>
          <w:sz w:val="28"/>
          <w:szCs w:val="28"/>
          <w:rtl w:val="true"/>
          <w:lang w:bidi="fa-IR"/>
        </w:rPr>
        <w:t>، أو ما ورد فی تقدیم السابق للمرافعة أو الاستفتاء</w:t>
      </w:r>
      <w:r>
        <w:rPr>
          <w:rStyle w:val="FootnoteAnchor"/>
          <w:rtl w:val="true"/>
        </w:rPr>
        <w:footnoteReference w:id="211"/>
      </w:r>
      <w:r>
        <w:rPr>
          <w:rFonts w:ascii="IRNazanin" w:hAnsi="IRNazanin" w:eastAsia="IRNazanin"/>
          <w:color w:val="111111"/>
          <w:sz w:val="28"/>
          <w:sz w:val="28"/>
          <w:szCs w:val="28"/>
          <w:rtl w:val="true"/>
          <w:lang w:bidi="fa-IR"/>
        </w:rPr>
        <w:t>، ففی هذه الموارد لا تجری القرعة؛ لأنّه مع قیام الدلیل علی أخذ أحد الطرفین یخرج المورد عن الإشکال</w:t>
      </w:r>
      <w:r>
        <w:rPr>
          <w:rFonts w:eastAsia="IRNazanin" w:cs="IRNazanin"/>
          <w:color w:val="111111"/>
          <w:sz w:val="28"/>
          <w:szCs w:val="28"/>
          <w:rtl w:val="true"/>
          <w:lang w:bidi="fa-IR"/>
        </w:rPr>
        <w:t>.</w:t>
      </w:r>
      <w:bookmarkStart w:id="282" w:name="pg5448_41290"/>
    </w:p>
    <w:p>
      <w:pPr>
        <w:pStyle w:val="BookText"/>
        <w:rPr/>
      </w:pPr>
      <w:bookmarkEnd w:id="282"/>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الشبهات الموضوعیّة المحضة التی لا تجری فیها الأُصول العملیّة، ولا دلیل علی ترجیح أحد الأطراف، کالولد المردّد بین ثلاثة أشخاص، فهذه هی مورد القرعة، ولولاها لزم الهرج والمرج واختلال النظام، وینجرّ البقاء فی الجهالة إلی تعطیل الأحکام وإثارة الفتنة والفساد المطلوب حسم مادّتها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فالموضوع فی أدلّة القرعة هی المشکلات التی تکون من هذا القسم، فالشبهات الحکمیّة بدویّة کانت أو مقرونة بالعلم الإجمالی، و أیضاً الشبهات الموضوعیّة بنحو الأوّل و الثانی کانت خارجة عن مورد الأدلّة بالخروج التخصّصی لا التخصیصی حتّی یرد إشکال تخصیص الأکثر</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انتهی ملخّص کلامه قدس سره</w:t>
      </w:r>
      <w:r>
        <w:rPr>
          <w:rFonts w:eastAsia="IRNazanin" w:cs="IRNazanin"/>
          <w:color w:val="111111"/>
          <w:sz w:val="28"/>
          <w:szCs w:val="28"/>
          <w:rtl w:val="true"/>
          <w:lang w:bidi="fa-IR"/>
        </w:rPr>
        <w:t>.</w:t>
      </w:r>
    </w:p>
    <w:p>
      <w:pPr>
        <w:pStyle w:val="Heading4"/>
        <w:numPr>
          <w:ilvl w:val="3"/>
          <w:numId w:val="1"/>
        </w:numPr>
        <w:rPr/>
      </w:pPr>
      <w:bookmarkStart w:id="283" w:name="__RefHeading___Toc1920366_581953129"/>
      <w:bookmarkStart w:id="284" w:name="_Toc112"/>
      <w:bookmarkEnd w:id="283"/>
      <w:r>
        <w:rPr>
          <w:rtl w:val="true"/>
        </w:rPr>
        <w:t>الإیرادات والنقوص الواردة علی صاحب العناوین</w:t>
      </w:r>
      <w:bookmarkEnd w:id="284"/>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قد ادّعی أمراً ولکن لم یُقم علیه دلیلاً واضحاً، وتوضیح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للمحقّق العراقی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ضابطاً معیّناً لمورد أدلّة القرعة؛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نّها جاریة فیما إذا لم یکن طریق معتبر شرعاً جار فیه؛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القرعة هی آخر طریق لحلّ المشکلات، وموردها ما إذا لم یکن طریق آخر مثبت فیه، ولکن لا یوجد فی کلامه المفصّل دلیل یثبته، فهذه الضابطة وإن کانت متینة، ولکنّها مجرّد دعوی محض</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 هذه الضابطة نقوض متعدّدة یستفاد من التتبّع العمیق</w:t>
      </w:r>
    </w:p>
    <w:p>
      <w:pPr>
        <w:pStyle w:val="BookText"/>
        <w:rPr/>
      </w:pPr>
      <w:r>
        <w:rPr>
          <w:rFonts w:ascii="IRNazanin" w:hAnsi="IRNazanin" w:eastAsia="IRNazanin"/>
          <w:color w:val="111111"/>
          <w:sz w:val="28"/>
          <w:sz w:val="28"/>
          <w:szCs w:val="28"/>
          <w:rtl w:val="true"/>
          <w:lang w:bidi="fa-IR"/>
        </w:rPr>
        <w:t>فی موارد القرعة نحن نذکر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القرعة فیما إذا اشتبه علی کلّ من الزوجین، زوجته ولم یکن ثمَّ طریق إلی معرفتهما، فیمنع کلّ واحد من الرجلین عن الإمرأتین حتّی یقرع، کما صرّح به صاحب الجواهر</w:t>
      </w:r>
      <w:r>
        <w:rPr>
          <w:rStyle w:val="FootnoteAnchor"/>
          <w:rtl w:val="true"/>
        </w:rPr>
        <w:footnoteReference w:id="213"/>
      </w:r>
      <w:r>
        <w:rPr>
          <w:rFonts w:ascii="IRNazanin" w:hAnsi="IRNazanin" w:eastAsia="IRNazanin"/>
          <w:color w:val="111111"/>
          <w:sz w:val="28"/>
          <w:sz w:val="28"/>
          <w:szCs w:val="28"/>
          <w:rtl w:val="true"/>
          <w:lang w:bidi="fa-IR"/>
        </w:rPr>
        <w:t>، ففی هذا المورد یمکن أن یقال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یطلّق کلّ منهما زوجته، وبعد ذلک یعقد کلّ منهما واحداً من الإمرأتین علی سبیل التعیین، ولعلّه لأجل ذلک قد أفتی العلّامة</w:t>
      </w:r>
      <w:r>
        <w:rPr>
          <w:rStyle w:val="FootnoteAnchor"/>
          <w:rtl w:val="true"/>
        </w:rPr>
        <w:footnoteReference w:id="214"/>
      </w:r>
      <w:r>
        <w:rPr>
          <w:rFonts w:ascii="IRNazanin" w:hAnsi="IRNazanin" w:eastAsia="IRNazanin"/>
          <w:color w:val="111111"/>
          <w:sz w:val="28"/>
          <w:sz w:val="28"/>
          <w:szCs w:val="28"/>
          <w:rtl w:val="true"/>
          <w:lang w:bidi="fa-IR"/>
        </w:rPr>
        <w:t xml:space="preserve">بإلزام کلّ منهما للطلاق، وعلی هذا مع وجود هذا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أفتی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کصاحب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بجریان القرعة، فیستفاد منه أ نّها لیست بعنوان الحلّ الأخیر والوحید للمشکلات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صرّح صاحب الجواهر بأ نّه فی مورد التشاحّ فی الأذان مع عدم وجود المرجّح تجری القرعة، مع إمکان القول بالتخییر،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التخییر وإن کان ممکناً لکن لا ریب فی أولویّة القرعة فیه</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هذا المورد وإن کان أصل التخییر ممکناً، و لکنّه مع ذلک تجری القرعة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فی روایات القرعة توجد روایة تجری القرعة فی موردها مع إمکان جریان قاعدة العدل والإنصاف، مثل روایة حسین بن المختار فی تشخیص الولد الحُرّ عن غیره لإعطاء الإرث</w:t>
      </w:r>
    </w:p>
    <w:p>
      <w:pPr>
        <w:pStyle w:val="BookText"/>
        <w:rPr/>
      </w:pPr>
      <w:r>
        <w:rPr>
          <w:rFonts w:ascii="IRNazanin" w:hAnsi="IRNazanin" w:eastAsia="IRNazanin"/>
          <w:color w:val="111111"/>
          <w:sz w:val="28"/>
          <w:sz w:val="28"/>
          <w:szCs w:val="28"/>
          <w:rtl w:val="true"/>
          <w:lang w:bidi="fa-IR"/>
        </w:rPr>
        <w:t>والحریّة، فذهب أبو حنیفة إلی أ نّه یعتق نصف کلّ منهما ویقسّم المال بینهما، وهذا مطابق لقاعدة العدل والإنصاف، ولکن الإمام الصادق علیه السلام لم یقبله، وقد حکم بجریان القرعة</w:t>
      </w:r>
      <w:r>
        <w:rPr>
          <w:rStyle w:val="FootnoteAnchor"/>
          <w:rtl w:val="true"/>
        </w:rPr>
        <w:footnoteReference w:id="216"/>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النقض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تعارض الاستصحاب والقرعة؛ فإنّه لو قلنا بأ نّها أمارة جلیّة فتقدّم علی الاستصحاب من باب تقدیم الأمارة علی الأصل، وهکذا فی تعارضها مع التخییر والاحتیاط؛ فإنّه لا خلاف فی أ نّه بناءً علی کون المدرک فیهما العقل، تکون القرعة واردة علیهما؛ لارتفاع موضوعهما حقیقةً، ولو قلنا بشرعیّتهما فالقرعة حاکمة علیهما؛ لارتفاع موضوعهما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حسب القاعدة تکون القرعة مقدّمة علیهما، إمّا بنحو الورود أو بنحو الحکومة وإن ذهب الشیخ وجمعٌ</w:t>
      </w:r>
      <w:r>
        <w:rPr>
          <w:rStyle w:val="FootnoteAnchor"/>
          <w:rtl w:val="true"/>
        </w:rPr>
        <w:footnoteReference w:id="217"/>
      </w:r>
      <w:r>
        <w:rPr>
          <w:rFonts w:ascii="IRNazanin" w:hAnsi="IRNazanin" w:eastAsia="IRNazanin"/>
          <w:color w:val="111111"/>
          <w:sz w:val="28"/>
          <w:sz w:val="28"/>
          <w:szCs w:val="28"/>
          <w:rtl w:val="true"/>
          <w:lang w:bidi="fa-IR"/>
        </w:rPr>
        <w:t>إلی أنّ عموم أدلّتها موهون جدّاً من جهة کثرة التخصیص، ویجب الذهاب إلی ما یکون مورداً لعمل الأصحاب، فهذه نقوض ترد علیه، والمتتبّع یجد موارد أکثر منها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قدس سره قد استند إلی الإجماع لإخراج الشبهات الحکمیّة عن أدلّة القرعة، کما أنّ الشهید الأوّل فی القواعد والفوائد صرّح بخروجها بالإجماع</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bookmarkStart w:id="285" w:name="pg5448_41293"/>
    </w:p>
    <w:p>
      <w:pPr>
        <w:pStyle w:val="BookText"/>
        <w:rPr/>
      </w:pPr>
      <w:bookmarkEnd w:id="285"/>
      <w:r>
        <w:rPr>
          <w:rFonts w:ascii="IRNazanin" w:hAnsi="IRNazanin" w:eastAsia="IRNazanin"/>
          <w:color w:val="111111"/>
          <w:sz w:val="28"/>
          <w:sz w:val="28"/>
          <w:szCs w:val="28"/>
          <w:rtl w:val="true"/>
          <w:lang w:bidi="fa-IR"/>
        </w:rPr>
        <w:t>نعم، یستفاد من کلمات المحقّق النائینی أنّ دلیل القرعة إنّما هو فی مورد اشتباه موضوع التکلیف وتردّده بین الأُمور المتباینة،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المستفاد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القرعة لکلّ مشتبه أو مجهول، هو مورد اشتباه الموضوع بین الشیئین أو الأشیاء، فیقرع بینهما لإخراج موضوع التکلیف، ولا معنی للقرعة فی الشبهات البدویّة؛ فإنّه لیس فیها إلّا الاحتمالین والقرعة بین الاحتمالین، خارج عن مورد التعبّد بالقرعة، فموارد البراءة والاستصحاب خارجة عن عموم أخبار القرعة بالتخصّص لا بالتخصیص کما یظهر من کلام الشیخ قدس سره</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والظاهر أنّ الخروج من باب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الاستناد إلی الإجماع مستلزم للخروج التخصیصی، ومعه کیف أصرّ علی الخروج التخصّصی، ولا یمکن الجمع بینهما</w:t>
      </w:r>
      <w:r>
        <w:rPr>
          <w:rFonts w:eastAsia="IRNazanin" w:cs="IRNazanin"/>
          <w:color w:val="111111"/>
          <w:sz w:val="28"/>
          <w:szCs w:val="28"/>
          <w:rtl w:val="true"/>
          <w:lang w:bidi="fa-IR"/>
        </w:rPr>
        <w:t>.</w:t>
      </w:r>
    </w:p>
    <w:p>
      <w:pPr>
        <w:pStyle w:val="Heading4"/>
        <w:numPr>
          <w:ilvl w:val="3"/>
          <w:numId w:val="1"/>
        </w:numPr>
        <w:rPr/>
      </w:pPr>
      <w:bookmarkStart w:id="286" w:name="__RefHeading___Toc1920368_581953129"/>
      <w:bookmarkStart w:id="287" w:name="_Toc113"/>
      <w:bookmarkEnd w:id="286"/>
      <w:r>
        <w:rPr>
          <w:rtl w:val="true"/>
        </w:rPr>
        <w:t>ذکر موارد من الشبهات الحکمیّة التی حکموا بجریان القرعة فیها</w:t>
      </w:r>
      <w:bookmarkEnd w:id="287"/>
    </w:p>
    <w:p>
      <w:pPr>
        <w:pStyle w:val="Heading5"/>
        <w:numPr>
          <w:ilvl w:val="4"/>
          <w:numId w:val="1"/>
        </w:numPr>
        <w:rPr/>
      </w:pPr>
      <w:bookmarkStart w:id="288" w:name="__RefHeading___Toc1920370_581953129"/>
      <w:bookmarkStart w:id="289" w:name="_Toc114"/>
      <w:bookmarkEnd w:id="288"/>
      <w:r>
        <w:rPr>
          <w:rtl w:val="true"/>
        </w:rPr>
        <w:t>اشارة</w:t>
      </w:r>
      <w:bookmarkEnd w:id="289"/>
    </w:p>
    <w:p>
      <w:pPr>
        <w:pStyle w:val="BookText"/>
        <w:rPr/>
      </w:pPr>
      <w:r>
        <w:rPr>
          <w:rFonts w:ascii="IRNazanin" w:hAnsi="IRNazanin" w:eastAsia="IRNazanin"/>
          <w:color w:val="111111"/>
          <w:sz w:val="28"/>
          <w:sz w:val="28"/>
          <w:szCs w:val="28"/>
          <w:rtl w:val="true"/>
          <w:lang w:bidi="fa-IR"/>
        </w:rPr>
        <w:t>ومع غضّ النظر عن ذلک نحن ظفرنا فی کلمات الفقهاء علی موارد حکموا بجریان القرعة فیها، مع أنّ الشُّبهة فیها حکمیّة لا موضوعیّة، وبهذا ینحلّ الإجماع</w:t>
      </w:r>
      <w:r>
        <w:rPr>
          <w:rFonts w:eastAsia="IRNazanin" w:cs="IRNazanin"/>
          <w:color w:val="111111"/>
          <w:sz w:val="28"/>
          <w:szCs w:val="28"/>
          <w:rtl w:val="true"/>
          <w:lang w:bidi="fa-IR"/>
        </w:rPr>
        <w:t>.</w:t>
      </w:r>
    </w:p>
    <w:p>
      <w:pPr>
        <w:pStyle w:val="Heading5"/>
        <w:numPr>
          <w:ilvl w:val="4"/>
          <w:numId w:val="1"/>
        </w:numPr>
        <w:rPr/>
      </w:pPr>
      <w:bookmarkStart w:id="290" w:name="__RefHeading___Toc1920372_581953129"/>
      <w:bookmarkStart w:id="291" w:name="_Toc115"/>
      <w:bookmarkEnd w:id="290"/>
      <w:r>
        <w:rPr/>
        <w:t>1</w:t>
      </w:r>
      <w:r>
        <w:rPr>
          <w:rtl w:val="true"/>
        </w:rPr>
        <w:t xml:space="preserve"> - </w:t>
      </w:r>
      <w:r>
        <w:rPr>
          <w:rtl w:val="true"/>
        </w:rPr>
        <w:t>فیما لو اجتمع میّت ومحدث وجنب ولم یکن الماء صالحاً إلاّ لأحدهم</w:t>
      </w:r>
      <w:bookmarkEnd w:id="29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فیما لو اجتمع میت ومُحْدِث و جُنب ولم یکن الماء صالحاً إلّا لأحدهم، فقد وقع البحث فی کلماتهم، فحکموا علی نحو الإطلاق بتخصیص الماء بالجنب</w:t>
      </w:r>
      <w:r>
        <w:rPr>
          <w:rStyle w:val="FootnoteAnchor"/>
          <w:rtl w:val="true"/>
        </w:rPr>
        <w:footnoteReference w:id="221"/>
      </w:r>
      <w:r>
        <w:rPr>
          <w:rFonts w:ascii="IRNazanin" w:hAnsi="IRNazanin" w:eastAsia="IRNazanin"/>
          <w:color w:val="111111"/>
          <w:sz w:val="28"/>
          <w:sz w:val="28"/>
          <w:szCs w:val="28"/>
          <w:rtl w:val="true"/>
          <w:lang w:bidi="fa-IR"/>
        </w:rPr>
        <w:t>، ولزوم التیمّم للمیّت والمحدث بالأصغر،</w:t>
      </w:r>
    </w:p>
    <w:p>
      <w:pPr>
        <w:pStyle w:val="BookText"/>
        <w:rPr/>
      </w:pPr>
      <w:r>
        <w:rPr>
          <w:rFonts w:ascii="IRNazanin" w:hAnsi="IRNazanin" w:eastAsia="IRNazanin"/>
          <w:color w:val="111111"/>
          <w:sz w:val="28"/>
          <w:sz w:val="28"/>
          <w:szCs w:val="28"/>
          <w:rtl w:val="true"/>
          <w:lang w:bidi="fa-IR"/>
        </w:rPr>
        <w:t>وذلک وفقاً للروایات</w:t>
      </w:r>
      <w:r>
        <w:rPr>
          <w:rStyle w:val="FootnoteAnchor"/>
          <w:rtl w:val="true"/>
        </w:rPr>
        <w:footnoteReference w:id="222"/>
      </w:r>
      <w:r>
        <w:rPr>
          <w:rFonts w:ascii="IRNazanin" w:hAnsi="IRNazanin" w:eastAsia="IRNazanin"/>
          <w:color w:val="111111"/>
          <w:sz w:val="28"/>
          <w:sz w:val="28"/>
          <w:szCs w:val="28"/>
          <w:rtl w:val="true"/>
          <w:lang w:bidi="fa-IR"/>
        </w:rPr>
        <w:t>الواردة الظاهرة فی ذلک، لکن قد فصّل ابن إدریس</w:t>
      </w:r>
      <w:r>
        <w:rPr>
          <w:rStyle w:val="FootnoteAnchor"/>
          <w:rtl w:val="true"/>
        </w:rPr>
        <w:footnoteReference w:id="223"/>
      </w:r>
      <w:r>
        <w:rPr>
          <w:rFonts w:ascii="IRNazanin" w:hAnsi="IRNazanin" w:eastAsia="IRNazanin"/>
          <w:color w:val="111111"/>
          <w:sz w:val="28"/>
          <w:sz w:val="28"/>
          <w:szCs w:val="28"/>
          <w:rtl w:val="true"/>
          <w:lang w:bidi="fa-IR"/>
        </w:rPr>
        <w:t>فی ذلک بین ما إذا کان الماء ملکاً لأحدهم فیختصّ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یکن الماء ملکاً لأحدهم فیقدّم الجنب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نقل صاحب الجواهر عن بعض القول بالقرعة،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یظهر من بعضهم الرجوع فی جملة من هذه الصور إلی القرعة، وهو لا یخلو من وجه لو علم تعیّنه فی الواقع واشتبه، لکنّه أحوط علی کلّ حال</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البعض هو صاحب المدارک؛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حسن واستعمال القرعة أولی</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وکیف کان، فالظاهر أنّ القاعدة فی هذا المورد تقتضی التخییر، والروایات الواردة ظاهرة فی تخصیصه بالجنب، إمّا وجوباً أو استحباباً، وقد أفتی صاحب المدارک بجریان القرعة وأولویّتها، مع أنّ المورد من موارد الشُّبهة الحکمیّة، فتدبّر</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مخالفة صاحب المدارک والجواهر لا یضرّ بالإجماع علی حسب مبنی المتأخِّرین فی حجّیّة الإجماع، سیّما مع ملاحظة أنّ الفقیه العاملی فی مفتاح الکرامة</w:t>
      </w:r>
      <w:r>
        <w:rPr>
          <w:rStyle w:val="FootnoteAnchor"/>
          <w:rtl w:val="true"/>
        </w:rPr>
        <w:footnoteReference w:id="226"/>
      </w:r>
      <w:r>
        <w:rPr>
          <w:rFonts w:ascii="IRNazanin" w:hAnsi="IRNazanin" w:eastAsia="IRNazanin"/>
          <w:color w:val="111111"/>
          <w:sz w:val="28"/>
          <w:sz w:val="28"/>
          <w:szCs w:val="28"/>
          <w:rtl w:val="true"/>
          <w:lang w:bidi="fa-IR"/>
        </w:rPr>
        <w:t>لم یذکر القول بالقرعة فی ضمن الأقوال الثلاثة فی المسألة، وهذا یوجب الوهن ویکون شاذّاً فلا یعتنی به</w:t>
      </w:r>
      <w:r>
        <w:rPr>
          <w:rFonts w:eastAsia="IRNazanin" w:cs="IRNazanin"/>
          <w:color w:val="111111"/>
          <w:sz w:val="28"/>
          <w:szCs w:val="28"/>
          <w:rtl w:val="true"/>
          <w:lang w:bidi="fa-IR"/>
        </w:rPr>
        <w:t>.</w:t>
      </w:r>
      <w:bookmarkStart w:id="292" w:name="pg5448_41295"/>
    </w:p>
    <w:p>
      <w:pPr>
        <w:pStyle w:val="BookText"/>
        <w:rPr/>
      </w:pPr>
      <w:bookmarkEnd w:id="292"/>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الخلاف فی أصل التخییر، والقرعة إنّما تجری لتعیین الأولویّة؛ وهی أمرٌ موضوعیّ لا 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فی المعتبر</w:t>
      </w:r>
      <w:r>
        <w:rPr>
          <w:rStyle w:val="FootnoteAnchor"/>
          <w:rtl w:val="true"/>
        </w:rPr>
        <w:footnoteReference w:id="227"/>
      </w:r>
      <w:r>
        <w:rPr>
          <w:rFonts w:ascii="IRNazanin" w:hAnsi="IRNazanin" w:eastAsia="IRNazanin"/>
          <w:color w:val="111111"/>
          <w:sz w:val="28"/>
          <w:sz w:val="28"/>
          <w:szCs w:val="28"/>
          <w:rtl w:val="true"/>
          <w:lang w:bidi="fa-IR"/>
        </w:rPr>
        <w:t>وأبو العبّاس فی المهذّب البارع</w:t>
      </w:r>
      <w:r>
        <w:rPr>
          <w:rStyle w:val="FootnoteAnchor"/>
          <w:rtl w:val="true"/>
        </w:rPr>
        <w:footnoteReference w:id="228"/>
      </w:r>
      <w:r>
        <w:rPr>
          <w:rFonts w:ascii="IRNazanin" w:hAnsi="IRNazanin" w:eastAsia="IRNazanin"/>
          <w:color w:val="111111"/>
          <w:sz w:val="28"/>
          <w:sz w:val="28"/>
          <w:szCs w:val="28"/>
          <w:rtl w:val="true"/>
          <w:lang w:bidi="fa-IR"/>
        </w:rPr>
        <w:t>، و المحقّق الثانی</w:t>
      </w:r>
      <w:r>
        <w:rPr>
          <w:rStyle w:val="FootnoteAnchor"/>
          <w:rtl w:val="true"/>
        </w:rPr>
        <w:footnoteReference w:id="229"/>
      </w:r>
      <w:r>
        <w:rPr>
          <w:rFonts w:ascii="IRNazanin" w:hAnsi="IRNazanin" w:eastAsia="IRNazanin"/>
          <w:color w:val="111111"/>
          <w:sz w:val="28"/>
          <w:sz w:val="28"/>
          <w:szCs w:val="28"/>
          <w:rtl w:val="true"/>
          <w:lang w:bidi="fa-IR"/>
        </w:rPr>
        <w:t>، وسبط الشهید الثانی</w:t>
      </w:r>
      <w:r>
        <w:rPr>
          <w:rStyle w:val="FootnoteAnchor"/>
          <w:rtl w:val="true"/>
        </w:rPr>
        <w:footnoteReference w:id="230"/>
      </w:r>
      <w:r>
        <w:rPr>
          <w:rFonts w:ascii="IRNazanin" w:hAnsi="IRNazanin" w:eastAsia="IRNazanin"/>
          <w:color w:val="111111"/>
          <w:sz w:val="28"/>
          <w:sz w:val="28"/>
          <w:szCs w:val="28"/>
          <w:rtl w:val="true"/>
          <w:lang w:bidi="fa-IR"/>
        </w:rPr>
        <w:t>، وغیرهم</w:t>
      </w:r>
      <w:r>
        <w:rPr>
          <w:rStyle w:val="FootnoteAnchor"/>
          <w:rtl w:val="true"/>
        </w:rPr>
        <w:footnoteReference w:id="231"/>
      </w:r>
      <w:r>
        <w:rPr>
          <w:rFonts w:ascii="IRNazanin" w:hAnsi="IRNazanin" w:eastAsia="IRNazanin"/>
          <w:color w:val="111111"/>
          <w:sz w:val="28"/>
          <w:sz w:val="28"/>
          <w:szCs w:val="28"/>
          <w:rtl w:val="true"/>
          <w:lang w:bidi="fa-IR"/>
        </w:rPr>
        <w:t>أنّ النزاع إنّما هو فی الأولویّة لا غیر</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مخالف لظاهر الروایات الواردة، فراجع</w:t>
      </w:r>
      <w:r>
        <w:rPr>
          <w:rFonts w:eastAsia="IRNazanin" w:cs="IRNazanin"/>
          <w:color w:val="111111"/>
          <w:sz w:val="28"/>
          <w:szCs w:val="28"/>
          <w:rtl w:val="true"/>
          <w:lang w:bidi="fa-IR"/>
        </w:rPr>
        <w:t>.</w:t>
      </w:r>
    </w:p>
    <w:p>
      <w:pPr>
        <w:pStyle w:val="Heading5"/>
        <w:numPr>
          <w:ilvl w:val="4"/>
          <w:numId w:val="1"/>
        </w:numPr>
        <w:rPr/>
      </w:pPr>
      <w:bookmarkStart w:id="293" w:name="__RefHeading___Toc1920374_581953129"/>
      <w:bookmarkStart w:id="294" w:name="_Toc116"/>
      <w:bookmarkEnd w:id="293"/>
      <w:r>
        <w:rPr/>
        <w:t>2</w:t>
      </w:r>
      <w:r>
        <w:rPr>
          <w:rtl w:val="true"/>
        </w:rPr>
        <w:t xml:space="preserve"> - </w:t>
      </w:r>
      <w:r>
        <w:rPr>
          <w:rtl w:val="true"/>
        </w:rPr>
        <w:t>اذ کان الشخص متیمّما عن الغسل والوضوء ثم وجد ماءً صالحاً لأحدهما</w:t>
      </w:r>
      <w:bookmarkEnd w:id="29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کان الشخص متیمّماً تیمّماً بدلاً عن الغسل، و أیضاً تیمّماً ثانیاً بدلاً عن الوضوء، ثمّ إنّه وجد ماءً وتمکّن من ماء صالح للوضوء أو الغُسل لا لهما، ففی هذا الفرع یأتی احتمالات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نقضهما بمجرّد وجدان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یتخیّر المکلّف فی نقض أیّهما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القرعة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فصاحب الجواهر وإن ذهب إلی أقوائیّة الأوّل</w:t>
      </w:r>
      <w:r>
        <w:rPr>
          <w:rStyle w:val="FootnoteAnchor"/>
          <w:rtl w:val="true"/>
        </w:rPr>
        <w:footnoteReference w:id="233"/>
      </w:r>
      <w:r>
        <w:rPr>
          <w:rFonts w:ascii="IRNazanin" w:hAnsi="IRNazanin" w:eastAsia="IRNazanin"/>
          <w:color w:val="111111"/>
          <w:sz w:val="28"/>
          <w:sz w:val="28"/>
          <w:szCs w:val="28"/>
          <w:rtl w:val="true"/>
          <w:lang w:bidi="fa-IR"/>
        </w:rPr>
        <w:t xml:space="preserve">ولکن مجرّد احتمال القرعة فی هذا الفرع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 نّه من الشبهات الحکمیّة</w:t>
      </w:r>
      <w:bookmarkStart w:id="295" w:name="pg5448_41296"/>
    </w:p>
    <w:p>
      <w:pPr>
        <w:pStyle w:val="BookText"/>
        <w:rPr/>
      </w:pPr>
      <w:bookmarkEnd w:id="295"/>
      <w:r>
        <w:rPr>
          <w:rFonts w:ascii="IRNazanin" w:hAnsi="IRNazanin" w:eastAsia="IRNazanin"/>
          <w:color w:val="111111"/>
          <w:sz w:val="28"/>
          <w:sz w:val="28"/>
          <w:szCs w:val="28"/>
          <w:rtl w:val="true"/>
          <w:lang w:bidi="fa-IR"/>
        </w:rPr>
        <w:t xml:space="preserve">لا الموضوعیّة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یکفینا لنقض الإجماع، فتدبّر</w:t>
      </w:r>
      <w:r>
        <w:rPr>
          <w:rFonts w:eastAsia="IRNazanin" w:cs="IRNazanin"/>
          <w:color w:val="111111"/>
          <w:sz w:val="28"/>
          <w:szCs w:val="28"/>
          <w:rtl w:val="true"/>
          <w:lang w:bidi="fa-IR"/>
        </w:rPr>
        <w:t>.</w:t>
      </w:r>
    </w:p>
    <w:p>
      <w:pPr>
        <w:pStyle w:val="Heading5"/>
        <w:numPr>
          <w:ilvl w:val="4"/>
          <w:numId w:val="1"/>
        </w:numPr>
        <w:rPr/>
      </w:pPr>
      <w:bookmarkStart w:id="296" w:name="__RefHeading___Toc1920376_581953129"/>
      <w:bookmarkStart w:id="297" w:name="_Toc117"/>
      <w:bookmarkEnd w:id="296"/>
      <w:r>
        <w:rPr/>
        <w:t>3</w:t>
      </w:r>
      <w:r>
        <w:rPr>
          <w:rtl w:val="true"/>
        </w:rPr>
        <w:t xml:space="preserve"> - </w:t>
      </w:r>
      <w:r>
        <w:rPr>
          <w:rtl w:val="true"/>
        </w:rPr>
        <w:t>لو نذر شخص بأن یتصدّق بالمال الزکوی إذا بلغ حدّ النصاب</w:t>
      </w:r>
      <w:bookmarkEnd w:id="297"/>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نذر شخص بأن یتصدّق بالمال الزکوی إذا بلغ حدّ النصاب، فهل الواجب الزکاة، وبعد إخراجها یتصدّق بالباقی، أو لا یجب التصدّق بجمیعه؟</w:t>
      </w:r>
    </w:p>
    <w:p>
      <w:p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بعض الأصحاب القرعة مطلقاً</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للمسألة صور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شبهة حکمیّة، فلا یعلم أنّ الواجب الشرعی إعطاء الزکاة، أو التصدّق؟ والحلّ بید الشارع</w:t>
      </w:r>
      <w:r>
        <w:rPr>
          <w:rFonts w:eastAsia="IRNazanin" w:cs="IRNazanin"/>
          <w:color w:val="111111"/>
          <w:sz w:val="28"/>
          <w:szCs w:val="28"/>
          <w:rtl w:val="true"/>
          <w:lang w:bidi="fa-IR"/>
        </w:rPr>
        <w:t>.</w:t>
      </w:r>
    </w:p>
    <w:p>
      <w:pPr>
        <w:pStyle w:val="Heading4"/>
        <w:numPr>
          <w:ilvl w:val="3"/>
          <w:numId w:val="1"/>
        </w:numPr>
        <w:rPr/>
      </w:pPr>
      <w:bookmarkStart w:id="298" w:name="__RefHeading___Toc1920378_581953129"/>
      <w:bookmarkStart w:id="299" w:name="_Toc118"/>
      <w:bookmarkEnd w:id="298"/>
      <w:r>
        <w:rPr>
          <w:rtl w:val="true"/>
        </w:rPr>
        <w:t>کلام السیّد المحقّق الأعظم الإمام الخمینی قدس سره</w:t>
      </w:r>
      <w:r>
        <w:rPr>
          <w:rtl w:val="true"/>
        </w:rPr>
        <w:t>:</w:t>
      </w:r>
      <w:bookmarkEnd w:id="299"/>
    </w:p>
    <w:p>
      <w:pPr>
        <w:pStyle w:val="BookText"/>
        <w:rPr/>
      </w:pPr>
      <w:r>
        <w:rPr>
          <w:rFonts w:ascii="IRNazanin" w:hAnsi="IRNazanin" w:eastAsia="IRNazanin"/>
          <w:color w:val="111111"/>
          <w:sz w:val="28"/>
          <w:sz w:val="28"/>
          <w:szCs w:val="28"/>
          <w:rtl w:val="true"/>
          <w:lang w:bidi="fa-IR"/>
        </w:rPr>
        <w:t>فقد ذهب إلی بطلان ما کان متداولاً بین ألسنة المتأخِّرین من تضعیف عمومات القرعة بسبب کثرة التخصیص ولزوم العمل فیما عمل به الأصحاب،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عمومات القرعة باقیةٌ علی حالها، والتخصیص فیها لیس أکثر من التخصیص الواقع علی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 ولتحقیق ذلک قد اعتقد أنّ المستفاد من الروایات الواردة، وکذا المستفاد من کلمات الأصحاب إنّ مورد أدلّة القرعة إنّما هو مرتبط بتنازع الحقوق، وتزاحم الحقوق المالیّة، وبالمآل مرتبط بباب القضاء، و لإثبات ذلک قال ما ملخّصه</w:t>
      </w:r>
      <w:r>
        <w:rPr>
          <w:rFonts w:eastAsia="IRNazanin" w:cs="IRNazanin"/>
          <w:color w:val="111111"/>
          <w:sz w:val="28"/>
          <w:szCs w:val="28"/>
          <w:rtl w:val="true"/>
          <w:lang w:bidi="fa-IR"/>
        </w:rPr>
        <w:t>:</w:t>
      </w:r>
    </w:p>
    <w:p>
      <w:pPr>
        <w:pStyle w:val="Heading4"/>
        <w:numPr>
          <w:ilvl w:val="3"/>
          <w:numId w:val="1"/>
        </w:numPr>
        <w:rPr/>
      </w:pPr>
      <w:bookmarkStart w:id="300" w:name="__RefHeading___Toc1920380_581953129"/>
      <w:bookmarkStart w:id="301" w:name="_Toc119"/>
      <w:bookmarkEnd w:id="300"/>
      <w:r>
        <w:rPr>
          <w:rtl w:val="true"/>
        </w:rPr>
        <w:t>بطلان تضعیف عمومات القرعة بکثرة التخصیص، وکون القرعة مختصّة بباب القضاء</w:t>
      </w:r>
      <w:bookmarkEnd w:id="30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القرعة طریق متعارف بین العقلاء، کما یشهد بذلک قضیّة</w:t>
      </w:r>
    </w:p>
    <w:p>
      <w:pPr>
        <w:pStyle w:val="BookText"/>
        <w:rPr/>
      </w:pPr>
      <w:r>
        <w:rPr>
          <w:rFonts w:ascii="IRNazanin" w:hAnsi="IRNazanin" w:eastAsia="IRNazanin"/>
          <w:color w:val="111111"/>
          <w:sz w:val="28"/>
          <w:sz w:val="28"/>
          <w:szCs w:val="28"/>
          <w:rtl w:val="true"/>
          <w:lang w:bidi="fa-IR"/>
        </w:rPr>
        <w:t>مساهمة یونس وتکفّل مریم علیهما السلام</w:t>
      </w:r>
      <w:r>
        <w:rPr>
          <w:rStyle w:val="FootnoteAnchor"/>
          <w:rtl w:val="true"/>
        </w:rPr>
        <w:footnoteReference w:id="236"/>
      </w:r>
      <w:r>
        <w:rPr>
          <w:rFonts w:ascii="IRNazanin" w:hAnsi="IRNazanin" w:eastAsia="IRNazanin"/>
          <w:color w:val="111111"/>
          <w:sz w:val="28"/>
          <w:sz w:val="28"/>
          <w:szCs w:val="28"/>
          <w:rtl w:val="true"/>
          <w:lang w:bidi="fa-IR"/>
        </w:rPr>
        <w:t>؛ فإنّهما لیسا من باب التعبّد الشرعی، بل کان من جهة الارتکاز الموجود بین العقلاء فی اللّجوء إلی القرعة فی المشکلات، فالقرعة طریق عقلائی والشارع قد وافقهم طابق النعل بالنعل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نحن حینما راجعنا إلی ارتکازنا و إلی العقلاء فهمنا أنّ مورد جریان القرعة عندهم لیس إلّافیما وقع التنازع فی الحقوق المالیّة، ولیس فی البین مرجّح لأحد الأطراف، فالعقلاء یجرون القرعة فی الأُمور المالیّة، فیما لم یکن مرجّح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المستفاد من الروایات لیس إلّاما هو الموجود بین العقلاء، فالروایات جمیعاً وردت فی مورد التنازع والتزاحم إلّاروایة الغنم الموطوءة</w:t>
      </w:r>
      <w:r>
        <w:rPr>
          <w:rStyle w:val="FootnoteAnchor"/>
          <w:rtl w:val="true"/>
        </w:rPr>
        <w:footnoteReference w:id="237"/>
      </w:r>
      <w:r>
        <w:rPr>
          <w:rFonts w:ascii="IRNazanin" w:hAnsi="IRNazanin" w:eastAsia="IRNazanin"/>
          <w:color w:val="111111"/>
          <w:sz w:val="28"/>
          <w:sz w:val="28"/>
          <w:szCs w:val="28"/>
          <w:rtl w:val="true"/>
          <w:lang w:bidi="fa-IR"/>
        </w:rPr>
        <w:t>، وسیأتی البحث عنه، فکثیر منها قد ورد فی باب تعارض البیّنات فی النزاع فی الدابّة، أو الودیعة، أو الزوجة</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وبعض منها قد ورد فی الوصیّة بعتق ثلث العبید ولم یکن الثلث معیّناً، فقد یقع التزاحم والتنازع بین حقوق العبید</w:t>
      </w:r>
      <w:r>
        <w:rPr>
          <w:rStyle w:val="FootnoteAnchor"/>
          <w:rtl w:val="true"/>
        </w:rPr>
        <w:footnoteReference w:id="239"/>
      </w:r>
      <w:r>
        <w:rPr>
          <w:rFonts w:ascii="IRNazanin" w:hAnsi="IRNazanin" w:eastAsia="IRNazanin"/>
          <w:color w:val="111111"/>
          <w:sz w:val="28"/>
          <w:sz w:val="28"/>
          <w:szCs w:val="28"/>
          <w:rtl w:val="true"/>
          <w:lang w:bidi="fa-IR"/>
        </w:rPr>
        <w:t>، وهکذا ما ورد فی الخنثی المشکل</w:t>
      </w:r>
      <w:r>
        <w:rPr>
          <w:rStyle w:val="FootnoteAnchor"/>
          <w:rtl w:val="true"/>
        </w:rPr>
        <w:footnoteReference w:id="240"/>
      </w:r>
      <w:r>
        <w:rPr>
          <w:rFonts w:ascii="Amiri" w:hAnsi="Amiri" w:eastAsia="Amiri" w:cs="Amiri"/>
          <w:color w:val="111111"/>
          <w:sz w:val="28"/>
          <w:sz w:val="28"/>
          <w:szCs w:val="28"/>
          <w:rtl w:val="true"/>
          <w:lang w:bidi="ar-SA"/>
        </w:rPr>
        <w:t>من جهة الإرث</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یبقی فی البین الروایة الواردة فی الغنم الموطوءة،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w:t>
      </w:r>
    </w:p>
    <w:p>
      <w:pPr>
        <w:pStyle w:val="BookText"/>
        <w:rPr/>
      </w:pPr>
      <w:r>
        <w:rPr>
          <w:rFonts w:ascii="IRNazanin" w:hAnsi="IRNazanin" w:eastAsia="IRNazanin"/>
          <w:color w:val="111111"/>
          <w:sz w:val="28"/>
          <w:sz w:val="28"/>
          <w:szCs w:val="28"/>
          <w:rtl w:val="true"/>
          <w:lang w:bidi="fa-IR"/>
        </w:rPr>
        <w:t>مورد خاصّ تعبّدیّ یجب العمل فی هذا المورد، ولا یجوز التعدّی عنها إلی الغنم المختلط المذکّی بالمیتة، ولم یوجد فقیه معتبر یفتی بجریان القرعة لتمیّز المذکّی عن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 فی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التزاحم بین حقوق الشیاه أو حقوق أرباب الأغنام، فقد ورد فی الروایة أ نّه مع تشخیص الموطوءة نَجَتْ سائر الأغنام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فمورد الروایات جمیعاً لیس إلّامورد التنازع والاختلاف فی الحقوق المالیّة، ویؤیّد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التعبیر بالأخصّیّة، ففی بعض الروایات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سهم المحقّ</w:t>
      </w:r>
      <w:r>
        <w:rPr>
          <w:rStyle w:val="FootnoteAnchor"/>
          <w:rtl w:val="true"/>
        </w:rPr>
        <w:footnoteReference w:id="241"/>
      </w:r>
      <w:r>
        <w:rPr>
          <w:rFonts w:ascii="IRNazanin" w:hAnsi="IRNazanin" w:eastAsia="IRNazanin"/>
          <w:color w:val="111111"/>
          <w:sz w:val="28"/>
          <w:sz w:val="28"/>
          <w:szCs w:val="28"/>
          <w:rtl w:val="true"/>
          <w:lang w:bidi="fa-IR"/>
        </w:rPr>
        <w:t>، وهذا التعبیر لا یناسب إلّاإذا کان التنازع والتزاحم فی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قدورد فی بعض الروایات أنّ أصل القرعة هو ما ورد فی کتاب اللّه من قضیّة یونس ومریم علیهما السلام</w:t>
      </w:r>
      <w:r>
        <w:rPr>
          <w:rStyle w:val="FootnoteAnchor"/>
          <w:rtl w:val="true"/>
        </w:rPr>
        <w:footnoteReference w:id="242"/>
      </w:r>
      <w:r>
        <w:rPr>
          <w:rFonts w:ascii="IRNazanin" w:hAnsi="IRNazanin" w:eastAsia="IRNazanin"/>
          <w:color w:val="111111"/>
          <w:sz w:val="28"/>
          <w:sz w:val="28"/>
          <w:szCs w:val="28"/>
          <w:rtl w:val="true"/>
          <w:lang w:bidi="fa-IR"/>
        </w:rPr>
        <w:t>، ومن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لیس إلّاأمراً عقلائیّاً، وقد ذکرنا أنّ القرعة عندهم إنّما هی فی الأُمور المالیّة المتنازع علیها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فی بعض الروایات أ نّها لا یخرجها إلّاالإمام علیه السلام</w:t>
      </w:r>
      <w:r>
        <w:rPr>
          <w:rStyle w:val="FootnoteAnchor"/>
          <w:rtl w:val="true"/>
        </w:rPr>
        <w:footnoteReference w:id="243"/>
      </w:r>
      <w:r>
        <w:rPr>
          <w:rFonts w:ascii="IRNazanin" w:hAnsi="IRNazanin" w:eastAsia="IRNazanin"/>
          <w:color w:val="111111"/>
          <w:sz w:val="28"/>
          <w:sz w:val="28"/>
          <w:szCs w:val="28"/>
          <w:rtl w:val="true"/>
          <w:lang w:bidi="fa-IR"/>
        </w:rPr>
        <w:t>، أو أنّ القرعة قد أقرع الوالی</w:t>
      </w:r>
      <w:r>
        <w:rPr>
          <w:rStyle w:val="FootnoteAnchor"/>
          <w:rtl w:val="true"/>
        </w:rPr>
        <w:footnoteReference w:id="244"/>
      </w:r>
      <w:r>
        <w:rPr>
          <w:rFonts w:ascii="Amiri" w:hAnsi="Amiri" w:eastAsia="Amiri" w:cs="Amiri"/>
          <w:color w:val="111111"/>
          <w:sz w:val="28"/>
          <w:sz w:val="28"/>
          <w:szCs w:val="28"/>
          <w:rtl w:val="true"/>
          <w:lang w:bidi="ar-SA"/>
        </w:rPr>
        <w:t>، والمراد منصب الإمامة؛ وهو مناسب</w:t>
      </w:r>
      <w:bookmarkStart w:id="302" w:name="pg5448_41299"/>
    </w:p>
    <w:p>
      <w:pPr>
        <w:pStyle w:val="BookText"/>
        <w:rPr/>
      </w:pPr>
      <w:bookmarkEnd w:id="302"/>
      <w:r>
        <w:rPr>
          <w:rFonts w:ascii="IRNazanin" w:hAnsi="IRNazanin" w:eastAsia="IRNazanin"/>
          <w:color w:val="111111"/>
          <w:sz w:val="28"/>
          <w:sz w:val="28"/>
          <w:szCs w:val="28"/>
          <w:rtl w:val="true"/>
          <w:lang w:bidi="fa-IR"/>
        </w:rPr>
        <w:t>لباب القضاء، وهذه قرینة واضحة علی جریان القرعة فی موارد التنازع المحتاج إلی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القرائن الثلاثة شاهدة ومؤیّدة لما ذکرناه من مورد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من بین الروایات ما نقله محمّد بن حکیم عن الکاظم علیه السلام</w:t>
      </w:r>
      <w:r>
        <w:rPr>
          <w:rStyle w:val="FootnoteAnchor"/>
          <w:rtl w:val="true"/>
        </w:rPr>
        <w:footnoteReference w:id="245"/>
      </w:r>
      <w:r>
        <w:rPr>
          <w:rFonts w:ascii="IRNazanin" w:hAnsi="IRNazanin" w:eastAsia="IRNazanin"/>
          <w:color w:val="111111"/>
          <w:sz w:val="28"/>
          <w:sz w:val="28"/>
          <w:szCs w:val="28"/>
          <w:rtl w:val="true"/>
          <w:lang w:bidi="fa-IR"/>
        </w:rPr>
        <w:t>؛ من أنّ القرعة فی کلّ أمرٍ مجهول، وهو عام شامل للحکم والموضوع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فی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السؤال فی هذه الروایة مجهول، فلعلّه کان محفوفاً بالقرینة التی لم تصل إلینا، ولعلّها کانت فی مورد المرافعات والمنازعات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الارتکاز العقلائی یکون قرینة علی التصرّف فی هذا الکلام،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المجهول هو المجهول فی الموضوعات التی قد وقع التنازع فیها، فهذه قرینة لبّیّة علی التصرّف فی الإطلاق الموجود فی هذه الروایة</w:t>
      </w:r>
      <w:r>
        <w:rPr>
          <w:rFonts w:eastAsia="IRNazanin" w:cs="IRNazanin"/>
          <w:color w:val="111111"/>
          <w:sz w:val="28"/>
          <w:szCs w:val="28"/>
          <w:rtl w:val="true"/>
          <w:lang w:bidi="fa-IR"/>
        </w:rPr>
        <w:t>.</w:t>
      </w:r>
      <w:r>
        <w:rPr>
          <w:rStyle w:val="FootnoteAnchor"/>
          <w:rtl w:val="true"/>
        </w:rPr>
        <w:footnoteReference w:id="246"/>
      </w:r>
    </w:p>
    <w:p>
      <w:pPr>
        <w:pStyle w:val="Heading4"/>
        <w:numPr>
          <w:ilvl w:val="3"/>
          <w:numId w:val="1"/>
        </w:numPr>
        <w:rPr/>
      </w:pPr>
      <w:bookmarkStart w:id="303" w:name="__RefHeading___Toc1920382_581953129"/>
      <w:bookmarkStart w:id="304" w:name="_Toc120"/>
      <w:bookmarkEnd w:id="303"/>
      <w:r>
        <w:rPr>
          <w:rtl w:val="true"/>
        </w:rPr>
        <w:t>کلام السیّد المحقّق الداماد</w:t>
      </w:r>
      <w:bookmarkEnd w:id="30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ونظیر هذا القول ما ذهب إلیه السیّد المحقّق الداماد فی کتاب المحاضرات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تحصّل أنّ القرعة من مناصب الإمام، فلا یجوز لغیره إجراؤها إلّاإذا کان منصوباً من قبل الإمام بنحو الخصوص أو العموم، ولا یخفی أنّ القرعة لو کانت عامّة فی کلّ أمر مجهول لا یناسب أن یکون من وظائف الإمام، ومن یقوم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w:t>
      </w:r>
      <w:bookmarkStart w:id="305" w:name="pg5448_41300"/>
    </w:p>
    <w:p>
      <w:pPr>
        <w:pStyle w:val="BookText"/>
        <w:rPr/>
      </w:pPr>
      <w:bookmarkEnd w:id="305"/>
      <w:r>
        <w:rPr>
          <w:rFonts w:ascii="IRNazanin" w:hAnsi="IRNazanin" w:eastAsia="IRNazanin"/>
          <w:color w:val="111111"/>
          <w:sz w:val="28"/>
          <w:sz w:val="28"/>
          <w:szCs w:val="28"/>
          <w:rtl w:val="true"/>
          <w:lang w:bidi="fa-IR"/>
        </w:rPr>
        <w:t>من بعض الأخبار العامّة اختصاصها بمورد التنازع المحتاج إلی فصل الخصومة بحکم الإمام، أو الحاکم المنصوب من قبله، وذلک بقوله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قوم تنازعوا ثمّ فوّضوا أمرهم إلی اللّه عزّ وجلّ</w:t>
      </w:r>
      <w:r>
        <w:rPr>
          <w:rFonts w:eastAsia="Amiri" w:cs="Amiri" w:ascii="Amiri" w:hAnsi="Amiri"/>
          <w:color w:val="111111"/>
          <w:sz w:val="28"/>
          <w:szCs w:val="28"/>
          <w:rtl w:val="true"/>
          <w:lang w:bidi="ar-SA"/>
        </w:rPr>
        <w:t>»</w:t>
      </w:r>
      <w:r>
        <w:rPr>
          <w:rStyle w:val="FootnoteAnchor"/>
          <w:rtl w:val="true"/>
        </w:rPr>
        <w:footnoteReference w:id="247"/>
      </w:r>
      <w:r>
        <w:rPr>
          <w:rFonts w:ascii="IRNazanin" w:hAnsi="IRNazanin" w:eastAsia="IRNazanin"/>
          <w:color w:val="111111"/>
          <w:sz w:val="28"/>
          <w:sz w:val="28"/>
          <w:szCs w:val="28"/>
          <w:rtl w:val="true"/>
          <w:lang w:bidi="fa-IR"/>
        </w:rPr>
        <w:t>إلخ؛ فإنّ الظاهر منه وکذا غیره ممّا یکون بهذا التعبیر اختصاصها بمورد الترافع والتنازع</w:t>
      </w:r>
      <w:r>
        <w:rPr>
          <w:rStyle w:val="FootnoteAnchor"/>
          <w:rtl w:val="true"/>
        </w:rPr>
        <w:footnoteReference w:id="248"/>
      </w:r>
      <w:r>
        <w:rPr>
          <w:rFonts w:ascii="IRNazanin" w:hAnsi="IRNazanin" w:eastAsia="IRNazanin"/>
          <w:color w:val="111111"/>
          <w:sz w:val="28"/>
          <w:sz w:val="28"/>
          <w:szCs w:val="28"/>
          <w:rtl w:val="true"/>
          <w:lang w:bidi="fa-IR"/>
        </w:rPr>
        <w:t>إنتهی کلامه</w:t>
      </w:r>
      <w:r>
        <w:rPr>
          <w:rFonts w:eastAsia="IRNazanin" w:cs="IRNazanin"/>
          <w:color w:val="111111"/>
          <w:sz w:val="28"/>
          <w:szCs w:val="28"/>
          <w:rtl w:val="true"/>
          <w:lang w:bidi="fa-IR"/>
        </w:rPr>
        <w:t>.</w:t>
      </w:r>
    </w:p>
    <w:p>
      <w:pPr>
        <w:pStyle w:val="Heading4"/>
        <w:numPr>
          <w:ilvl w:val="3"/>
          <w:numId w:val="1"/>
        </w:numPr>
        <w:rPr/>
      </w:pPr>
      <w:bookmarkStart w:id="306" w:name="__RefHeading___Toc1920384_581953129"/>
      <w:bookmarkStart w:id="307" w:name="_Toc121"/>
      <w:bookmarkEnd w:id="306"/>
      <w:r>
        <w:rPr>
          <w:rtl w:val="true"/>
        </w:rPr>
        <w:t>الملاحظات الواردة علی السیّد الإمام الخمینی والسیّد الداماد</w:t>
      </w:r>
      <w:bookmarkEnd w:id="307"/>
    </w:p>
    <w:p>
      <w:pPr>
        <w:pStyle w:val="BookText"/>
        <w:rPr/>
      </w:pPr>
      <w:r>
        <w:rPr>
          <w:rFonts w:ascii="IRNazanin" w:hAnsi="IRNazanin" w:eastAsia="IRNazanin"/>
          <w:color w:val="111111"/>
          <w:sz w:val="28"/>
          <w:sz w:val="28"/>
          <w:szCs w:val="28"/>
          <w:rtl w:val="true"/>
          <w:lang w:bidi="fa-IR"/>
        </w:rPr>
        <w:t>والملاحظة علی السیّد الإمام الخمینی والسیّد الداماد رحمهما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سابقاً</w:t>
      </w:r>
      <w:r>
        <w:rPr>
          <w:rStyle w:val="FootnoteAnchor"/>
          <w:rtl w:val="true"/>
        </w:rPr>
        <w:footnoteReference w:id="249"/>
      </w:r>
      <w:r>
        <w:rPr>
          <w:rFonts w:ascii="IRNazanin" w:hAnsi="IRNazanin" w:eastAsia="IRNazanin"/>
          <w:color w:val="111111"/>
          <w:sz w:val="28"/>
          <w:sz w:val="28"/>
          <w:szCs w:val="28"/>
          <w:rtl w:val="true"/>
          <w:lang w:bidi="fa-IR"/>
        </w:rPr>
        <w:t>أنّ القرعة فی الشریعة أوسع من القرعة عند العقلاء؛ فإنّ العقلاء عند تعارض البیّنتین یحکمون بالتساقط، ولا یرجعون إلی القرعة، بینما أنّ الشریعة قد أوجبت الرجوع إلیها، هذا، مضافاً إلی أنّ القرعة فی الشریعة یمکن أن تکون من المناصب للإمام المعصوم علیه السلام، أو من یقوم مقامه؛ بینما عدم وجود هذا الشرط عند العقلاء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250"/>
      </w:r>
      <w:r>
        <w:rPr>
          <w:rFonts w:ascii="IRNazanin" w:hAnsi="IRNazanin" w:eastAsia="IRNazanin"/>
          <w:color w:val="111111"/>
          <w:sz w:val="28"/>
          <w:sz w:val="28"/>
          <w:szCs w:val="28"/>
          <w:rtl w:val="true"/>
          <w:lang w:bidi="fa-IR"/>
        </w:rPr>
        <w:t>أیضاً أنّ قضیّة یونس لا تکون مطابقة لارتکاز العقلاء؛ ولأجل ذلک لا یصحّ التعدّی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وإن سلّمنا دلالة بعض الروایات علی أنّ القرعة مرتبطة بالتنازع وتزاحم الحقوق، ولکن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الروایات العامّة یدلّ علی عدم اختصاص القرعة بهذا المورد؛ فإنّ قوله علیه السلام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مجهول ففیه</w:t>
      </w:r>
    </w:p>
    <w:p>
      <w:pPr>
        <w:pStyle w:val="BookText"/>
        <w:rPr/>
      </w:pPr>
      <w:r>
        <w:rPr>
          <w:rFonts w:ascii="Amiri" w:hAnsi="Amiri" w:eastAsia="Amiri" w:cs="Amiri"/>
          <w:color w:val="111111"/>
          <w:sz w:val="28"/>
          <w:sz w:val="28"/>
          <w:szCs w:val="28"/>
          <w:rtl w:val="true"/>
          <w:lang w:bidi="ar-SA"/>
        </w:rPr>
        <w:t>القرعة</w:t>
      </w:r>
      <w:r>
        <w:rPr>
          <w:rFonts w:eastAsia="Amiri" w:cs="Amiri" w:ascii="Amiri" w:hAnsi="Amiri"/>
          <w:color w:val="111111"/>
          <w:sz w:val="28"/>
          <w:szCs w:val="28"/>
          <w:rtl w:val="true"/>
          <w:lang w:bidi="ar-SA"/>
        </w:rPr>
        <w:t>»</w:t>
      </w:r>
      <w:r>
        <w:rPr>
          <w:rStyle w:val="FootnoteAnchor"/>
          <w:rtl w:val="true"/>
        </w:rPr>
        <w:footnoteReference w:id="251"/>
      </w:r>
      <w:r>
        <w:rPr>
          <w:rFonts w:ascii="IRNazanin" w:hAnsi="IRNazanin" w:eastAsia="IRNazanin"/>
          <w:color w:val="111111"/>
          <w:sz w:val="28"/>
          <w:sz w:val="28"/>
          <w:szCs w:val="28"/>
          <w:rtl w:val="true"/>
          <w:lang w:bidi="fa-IR"/>
        </w:rPr>
        <w:t>عامّ غیر مختصّ بمورد التنازع، والقول بأنّ ارتکاز العقلاء قرینة علی التقیید باطل؛ من جهة أنّ العقل یمکن أن یکون قرینة علی التصرّف فی الدلیل، بخلاف ارتکاز العقلاء؛ فإنّه لا یتعیّن کونه قرینة علی التصرّف، بل یمکن أن یکون عموم الدلیل رادعاً لهذا الارتکاز،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الروایة الدالّة علی أنّ القرعة سنّة</w:t>
      </w:r>
      <w:r>
        <w:rPr>
          <w:rStyle w:val="FootnoteAnchor"/>
          <w:rtl w:val="true"/>
        </w:rPr>
        <w:footnoteReference w:id="252"/>
      </w:r>
      <w:r>
        <w:rPr>
          <w:rFonts w:ascii="IRNazanin" w:hAnsi="IRNazanin" w:eastAsia="IRNazanin"/>
          <w:color w:val="111111"/>
          <w:sz w:val="28"/>
          <w:sz w:val="28"/>
          <w:szCs w:val="28"/>
          <w:rtl w:val="true"/>
          <w:lang w:bidi="fa-IR"/>
        </w:rPr>
        <w:t>، أنّها من الأمور التی فرضها النبیّ صلی الله علیه و آله، وهذا ظاهر فی کون القرعة من الأُمور التأسیسی لا الإمضائی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نجد جریان القرعة فی موارد فی الفقه مع أنّها خارجة عن تزاحم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الأذان إذا کان الشخصان متساویین من جهة الشرائط، ففی هذا المورد لا مجال للبحث عن التزاحم فی الحقوق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غسل الخنثی المشکل فی أنّه هل یغسله الرجل أو الامرأة؟</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المال الحلال المختلط بالحرام مع عدم وجود النزاع فی البین، فلا تزاحم إثباتاً، فلو علم شخص بوجود مال الغیر فی ماله، ولم یعرف مقداره، ومالکه مردّد بین أشخاص، فقد ذکر جمع منهم السیّد الإمام بلزوم القرعة،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علم قدر المال، فإن علم صاحبه دفعه إلیه ولا خمس، بل لو علمه فی عدد محصور فالأحوط التخلّص منهم،</w:t>
      </w:r>
    </w:p>
    <w:p>
      <w:pPr>
        <w:pStyle w:val="BookText"/>
        <w:rPr/>
      </w:pPr>
      <w:r>
        <w:rPr>
          <w:rFonts w:ascii="IRNazanin" w:hAnsi="IRNazanin" w:eastAsia="IRNazanin"/>
          <w:color w:val="111111"/>
          <w:sz w:val="28"/>
          <w:sz w:val="28"/>
          <w:szCs w:val="28"/>
          <w:rtl w:val="true"/>
          <w:lang w:bidi="fa-IR"/>
        </w:rPr>
        <w:t>فإن لم یمکن فالأقوی الرجوع إلی القرعة</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المضاربة إذا مات العامل وکان عنده مال المضاربة، فإن علم بوجوده فیما ترکه بعینه فلا إشکال، وإن علم به فیه من غیر تعیین؛ بأن کان ما ترکه مشتملاً علیه وعلی مال نفسه، أو کان عنده أیضاً ودائع أو بضائع للآخرین واشتبه بعضها مع بعض، یعامل معه ما هو العلاج فی نظائره من اشتباه أموال متعدّدین، وهل هو بإعمال القرعة أو ایقاع التصالح، أو التقسیم بینهم علی نسبة أموالهم؟ وجوه أقواها القرعة، وأحوطها التصالح</w:t>
      </w:r>
      <w:r>
        <w:rPr>
          <w:rStyle w:val="FootnoteAnchor"/>
          <w:rtl w:val="true"/>
        </w:rPr>
        <w:footnoteReference w:id="254"/>
      </w:r>
      <w:r>
        <w:rPr>
          <w:rFonts w:ascii="IRNazanin" w:hAnsi="IRNazanin" w:eastAsia="IRNazanin"/>
          <w:color w:val="111111"/>
          <w:sz w:val="28"/>
          <w:sz w:val="28"/>
          <w:szCs w:val="28"/>
          <w:rtl w:val="true"/>
          <w:lang w:bidi="fa-IR"/>
        </w:rPr>
        <w:t>، 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فی هذا الفرع جریان القرعة وإن لم یکن تزاحم ونزاع إثباتاً،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سابقاً</w:t>
      </w:r>
      <w:r>
        <w:rPr>
          <w:rStyle w:val="FootnoteAnchor"/>
          <w:rtl w:val="true"/>
        </w:rPr>
        <w:footnoteReference w:id="255"/>
      </w:r>
      <w:r>
        <w:rPr>
          <w:rFonts w:ascii="IRNazanin" w:hAnsi="IRNazanin" w:eastAsia="IRNazanin"/>
          <w:color w:val="111111"/>
          <w:sz w:val="28"/>
          <w:sz w:val="28"/>
          <w:szCs w:val="28"/>
          <w:rtl w:val="true"/>
          <w:lang w:bidi="fa-IR"/>
        </w:rPr>
        <w:t>فی روایة عبّاس بن هلال الشامی، وروایة حسین بن مختار</w:t>
      </w:r>
      <w:r>
        <w:rPr>
          <w:rStyle w:val="FootnoteAnchor"/>
          <w:rtl w:val="true"/>
        </w:rPr>
        <w:footnoteReference w:id="256"/>
      </w:r>
      <w:r>
        <w:rPr>
          <w:rFonts w:ascii="IRNazanin" w:hAnsi="IRNazanin" w:eastAsia="IRNazanin"/>
          <w:color w:val="111111"/>
          <w:sz w:val="28"/>
          <w:sz w:val="28"/>
          <w:szCs w:val="28"/>
          <w:rtl w:val="true"/>
          <w:lang w:bidi="fa-IR"/>
        </w:rPr>
        <w:t>؛ فإنّ موردهما لیس من الأُمور المالیّة والتزاحم الحقوقی، بل المقصود منهما کون الشخص حرّاً أو رقّاً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السیّد الإمام الخمینی قد اعتمد علی نظره بما ورد فی بعض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کمرسلة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القرعة لا تکون إلّاللإمام</w:t>
      </w:r>
      <w:r>
        <w:rPr>
          <w:rStyle w:val="FootnoteAnchor"/>
          <w:rtl w:val="true"/>
        </w:rPr>
        <w:footnoteReference w:id="257"/>
      </w:r>
      <w:r>
        <w:rPr>
          <w:rFonts w:ascii="IRNazanin" w:hAnsi="IRNazanin" w:eastAsia="IRNazanin"/>
          <w:color w:val="111111"/>
          <w:sz w:val="28"/>
          <w:sz w:val="28"/>
          <w:szCs w:val="28"/>
          <w:rtl w:val="true"/>
          <w:lang w:bidi="fa-IR"/>
        </w:rPr>
        <w:t>،</w:t>
      </w:r>
      <w:bookmarkStart w:id="308" w:name="pg5448_41303"/>
    </w:p>
    <w:p>
      <w:pPr>
        <w:pStyle w:val="BookText"/>
        <w:rPr/>
      </w:pPr>
      <w:bookmarkEnd w:id="308"/>
      <w:r>
        <w:rPr>
          <w:rFonts w:ascii="IRNazanin" w:hAnsi="IRNazanin" w:eastAsia="IRNazanin"/>
          <w:color w:val="111111"/>
          <w:sz w:val="28"/>
          <w:sz w:val="28"/>
          <w:szCs w:val="28"/>
          <w:rtl w:val="true"/>
          <w:lang w:bidi="fa-IR"/>
        </w:rPr>
        <w:t>وهذه الروایات قرینة علی أنّ القرعة من شؤون الإمام، ومن البدیهی أنّ هذا الشأن إنّما هو مرتبط بباب القضاء، ونحن نقول فی قبال هذا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نستفید اختصاص القرعة بالإمام المعصوم علیه السلام؛ لعدم إمکانه لجمیع المسلمین فی زمن الحضور، مضافاً إلی ورود لفظ الوالی بدل لفظ الإمام فی بعض الروایات، وهذا یدلّ علی عدم اختصاصه بالإمام المعصوم علیه السلام، بل هی من شؤون الحاکم والوالی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روایات تدلّ علی عمومیّة هذا العمل، وعدم اختصاصه بالإمام المعصوم علیه السلام، أو نائبه العامّ أو الخاصّ، کصحیحة فضیل بن یسار</w:t>
      </w:r>
      <w:r>
        <w:rPr>
          <w:rStyle w:val="FootnoteAnchor"/>
          <w:rtl w:val="true"/>
        </w:rPr>
        <w:footnoteReference w:id="258"/>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اختصاصها بالمعصوم أو نائبه، ولکن لا ملازمة بین هذا الأمر، وبین کونها مختصّة بباب القضاء، کما فی الجهاد الابتدائی</w:t>
      </w:r>
      <w:r>
        <w:rPr>
          <w:rFonts w:eastAsia="IRNazanin" w:cs="IRNazanin"/>
          <w:color w:val="111111"/>
          <w:sz w:val="28"/>
          <w:szCs w:val="28"/>
          <w:rtl w:val="true"/>
          <w:lang w:bidi="fa-IR"/>
        </w:rPr>
        <w:t>.</w:t>
      </w:r>
    </w:p>
    <w:p>
      <w:pPr>
        <w:pStyle w:val="Heading4"/>
        <w:numPr>
          <w:ilvl w:val="3"/>
          <w:numId w:val="1"/>
        </w:numPr>
        <w:rPr/>
      </w:pPr>
      <w:bookmarkStart w:id="309" w:name="__RefHeading___Toc1920386_581953129"/>
      <w:bookmarkStart w:id="310" w:name="_Toc122"/>
      <w:bookmarkEnd w:id="309"/>
      <w:r>
        <w:rPr>
          <w:rtl w:val="true"/>
        </w:rPr>
        <w:t>مختار المؤلّف وموافقته للمحقّق البجنوردی فی موارد إجراء القرعة</w:t>
      </w:r>
      <w:bookmarkEnd w:id="31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صحّة ما ذهب إلیه المحقّق البجنوردی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یستفاد من مجموع الأدلّة أنّ مورد القرعة هی الشبهة الموضوعیّة المقرون بالعلم الإجمالی الذی لا یمکن فیه الاحتیاط، أو لا یجوز وإن کان ممکناً، أو لا یجب ولیس هناک أصل أو أمارة موافق للمعلوم بالاجمال کی یکون موجباً لانحلاله،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من المعضلات، ففی مثل هذا المورد شرّعت القرعة لحلّ المعضلة والمشکلة، إلخ </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 لکن مع عدم التقیید بعدم إمکان الاحتیاط؛</w:t>
      </w:r>
      <w:bookmarkStart w:id="311" w:name="pg5448_41304"/>
    </w:p>
    <w:p>
      <w:pPr>
        <w:pStyle w:val="BookText"/>
        <w:rPr/>
      </w:pPr>
      <w:bookmarkEnd w:id="311"/>
      <w:r>
        <w:rPr>
          <w:rFonts w:ascii="IRNazanin" w:hAnsi="IRNazanin" w:eastAsia="IRNazanin"/>
          <w:color w:val="111111"/>
          <w:sz w:val="28"/>
          <w:sz w:val="28"/>
          <w:szCs w:val="28"/>
          <w:rtl w:val="true"/>
          <w:lang w:bidi="fa-IR"/>
        </w:rPr>
        <w:t>فإنّ الظاهر من روایة الغنم المؤطوئة</w:t>
      </w:r>
      <w:r>
        <w:rPr>
          <w:rStyle w:val="FootnoteAnchor"/>
          <w:rtl w:val="true"/>
        </w:rPr>
        <w:footnoteReference w:id="260"/>
      </w:r>
      <w:r>
        <w:rPr>
          <w:rFonts w:ascii="IRNazanin" w:hAnsi="IRNazanin" w:eastAsia="IRNazanin"/>
          <w:color w:val="111111"/>
          <w:sz w:val="28"/>
          <w:sz w:val="28"/>
          <w:szCs w:val="28"/>
          <w:rtl w:val="true"/>
          <w:lang w:bidi="fa-IR"/>
        </w:rPr>
        <w:t>جریان القرعة حتّی مع امکان الاحتیاط، اللهم إلّاأن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جریان القرعة فی هذا المورد یکون علی خلاف القاعدة</w:t>
      </w:r>
      <w:r>
        <w:rPr>
          <w:rFonts w:eastAsia="IRNazanin" w:cs="IRNazanin"/>
          <w:color w:val="111111"/>
          <w:sz w:val="28"/>
          <w:szCs w:val="28"/>
          <w:rtl w:val="true"/>
          <w:lang w:bidi="fa-IR"/>
        </w:rPr>
        <w:t>.</w:t>
      </w:r>
    </w:p>
    <w:p>
      <w:pPr>
        <w:pStyle w:val="Heading3"/>
        <w:numPr>
          <w:ilvl w:val="2"/>
          <w:numId w:val="1"/>
        </w:numPr>
        <w:rPr/>
      </w:pPr>
      <w:bookmarkStart w:id="312" w:name="__RefHeading___Toc1920388_581953129"/>
      <w:bookmarkStart w:id="313" w:name="_Toc123"/>
      <w:bookmarkEnd w:id="312"/>
      <w:r>
        <w:rPr>
          <w:rtl w:val="true"/>
        </w:rPr>
        <w:t>التنبیه الثانی</w:t>
      </w:r>
      <w:r>
        <w:rPr>
          <w:rtl w:val="true"/>
        </w:rPr>
        <w:t xml:space="preserve">: </w:t>
      </w:r>
      <w:r>
        <w:rPr>
          <w:rtl w:val="true"/>
        </w:rPr>
        <w:t>أنّ القرعة من الأمارات أو الاُصول ؟</w:t>
      </w:r>
      <w:bookmarkEnd w:id="313"/>
    </w:p>
    <w:p>
      <w:pPr>
        <w:pStyle w:val="Heading4"/>
        <w:numPr>
          <w:ilvl w:val="3"/>
          <w:numId w:val="1"/>
        </w:numPr>
        <w:rPr/>
      </w:pPr>
      <w:bookmarkStart w:id="314" w:name="__RefHeading___Toc1920390_581953129"/>
      <w:bookmarkStart w:id="315" w:name="_Toc124"/>
      <w:bookmarkEnd w:id="314"/>
      <w:r>
        <w:rPr>
          <w:rtl w:val="true"/>
        </w:rPr>
        <w:t>اشارة</w:t>
      </w:r>
      <w:bookmarkEnd w:id="315"/>
    </w:p>
    <w:p>
      <w:pPr>
        <w:pStyle w:val="BookText"/>
        <w:rPr/>
      </w:pPr>
      <w:r>
        <w:rPr>
          <w:rFonts w:ascii="IRNazanin" w:hAnsi="IRNazanin" w:eastAsia="IRNazanin"/>
          <w:color w:val="111111"/>
          <w:sz w:val="28"/>
          <w:sz w:val="28"/>
          <w:szCs w:val="28"/>
          <w:rtl w:val="true"/>
          <w:lang w:bidi="fa-IR"/>
        </w:rPr>
        <w:t>التنبه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القرعة من الأمارات الشرعیّة، أم من الأصول العملیّة؟ بناءً علی ما ذهب إلیه مشهور المتأخّرین من الأُصولیّین، من وجود الفرق بین الأمارة والأصل العملی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انکرناه فی محلّه، وذکرنا له شواهد عدیدة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الأمارة حجّة من جهة وجود الکاشفیّة عن الواقع بخلاف الأصل العملی؛ فإنّه إمّا أن لا تکون فیه کاشفیّة، أو لا تکون حجّیته من جهة الکاشفیّة، بل صارت حجّة لأجل رفع التحیّر فی مقام العمل، فقد وقع الخلاف فی أنّ القرعة هل تکون من الأمارات، أم تکون من الأصول العملیّة؟</w:t>
      </w:r>
    </w:p>
    <w:p>
      <w:pPr>
        <w:pStyle w:val="Heading4"/>
        <w:numPr>
          <w:ilvl w:val="3"/>
          <w:numId w:val="1"/>
        </w:numPr>
        <w:rPr/>
      </w:pPr>
      <w:bookmarkStart w:id="316" w:name="__RefHeading___Toc1920392_581953129"/>
      <w:bookmarkStart w:id="317" w:name="_Toc125"/>
      <w:bookmarkEnd w:id="316"/>
      <w:r>
        <w:rPr>
          <w:rtl w:val="true"/>
        </w:rPr>
        <w:t>أدلّة أماریّة القرعة</w:t>
      </w:r>
      <w:bookmarkEnd w:id="317"/>
    </w:p>
    <w:p>
      <w:pPr>
        <w:pStyle w:val="BookText"/>
        <w:rPr/>
      </w:pPr>
      <w:r>
        <w:rPr>
          <w:rFonts w:ascii="IRNazanin" w:hAnsi="IRNazanin" w:eastAsia="IRNazanin"/>
          <w:color w:val="111111"/>
          <w:sz w:val="28"/>
          <w:sz w:val="28"/>
          <w:szCs w:val="28"/>
          <w:rtl w:val="true"/>
          <w:lang w:bidi="fa-IR"/>
        </w:rPr>
        <w:t>دلیل أماریة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التعابیر الواردة فی روایات القرعة تدلّ بوضوح علی أنّها من الأمارات، وإلیک نصّها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مرسلة حیمد عن أبی جعفر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 قوم تنازعوا ثمّ فوّضوا أمرهم إلی اللّه عزّ وجلّ إلّاخرج سهم المحقّ</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روایة محمّد بن حکیم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حکم اللّه به فلیس بمخطیء</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روایة الطیّار لزرارة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المساهمة ألیس حقّاً؟ فقال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هی حقّ</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التعبیر بالأعدلیة فی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قضیّة أعدل من قضیّة تجال علیها السّهام</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التعبیر بالأصوبیّة فی بعضها، کما ورد فی روایة عبّاس بن هلال عن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قوم فوّضوا أمرهم إلی اللّه عزّ وجّل وألقوا سهامهم إلّاخرج السهم الأصوب</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هذه التعابیر تدلّ بوضوح علی أنّ القرعة من الأمارات، ولذا قال المحقّق الآشتیانی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القرعة من الأمارات الجلیّة؛ بمعنی أنّ أماریّتها بجعل الشارع کالاستخارة</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وقد خالف فی ذلک جمع، کالسیّد الإمام الخمینی، وتلمیذه الأکبر الشیخ المحقّق الوالد رحمهما الله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غایة ما یدلّ علیه مثل هذا التعبیر هو مجرّد تطبیق اللّه تعالی السهم الخارج علی الواقع، دائماً لأجل تفویض الأمر إلیه وجعله هو الحکم، وهذا یغایر معنی الأماریّة؛ فإنّها متقوّمة بحیثیّة الکشف والاراءة، والقرعة فاقدة لها، بل تکون القرعة علی هذا نظیر الاستخارة التی لیست بأمارة قطعاً</w:t>
      </w:r>
      <w:r>
        <w:rPr>
          <w:rFonts w:eastAsia="IRNazanin" w:cs="IRNazanin"/>
          <w:color w:val="111111"/>
          <w:sz w:val="28"/>
          <w:szCs w:val="28"/>
          <w:rtl w:val="true"/>
          <w:lang w:bidi="fa-IR"/>
        </w:rPr>
        <w:t xml:space="preserve">. </w:t>
      </w:r>
      <w:r>
        <w:rPr>
          <w:rStyle w:val="FootnoteAnchor"/>
          <w:rtl w:val="true"/>
        </w:rPr>
        <w:footnoteReference w:id="267"/>
      </w:r>
      <w:bookmarkStart w:id="318" w:name="pg5448_41306"/>
    </w:p>
    <w:p>
      <w:pPr>
        <w:pStyle w:val="BookText"/>
        <w:rPr/>
      </w:pPr>
      <w:bookmarkEnd w:id="318"/>
      <w:r>
        <w:rPr>
          <w:rFonts w:ascii="IRNazanin" w:hAnsi="IRNazanin" w:eastAsia="IRNazanin"/>
          <w:color w:val="111111"/>
          <w:sz w:val="28"/>
          <w:sz w:val="28"/>
          <w:szCs w:val="28"/>
          <w:rtl w:val="true"/>
          <w:lang w:bidi="fa-IR"/>
        </w:rPr>
        <w:t>ومقصوده قدس سره أنّ القرعة لیست فی ذاتها جهة الکاشفیّة، بل الشارع جعل السهم الخارج مطابقاً للواقع، ولکن قد ثبت فی محلّه أنّه لا خصوصیّة لذلک؛ فإنّ الأمارة عبارة عن الدلیل الموصل إلی الواقع؛ سواء کانت الکاشفیّة ذاتیّة لها أم لا، بل جعلت کاشفة عن الواقع، ثمّ أنّ الوالد الراحل قد استدلّ علی کون القرعة أصلاً عملیاً بأُمور</w:t>
      </w:r>
      <w:r>
        <w:rPr>
          <w:rFonts w:eastAsia="IRNazanin" w:cs="IRNazanin"/>
          <w:color w:val="111111"/>
          <w:sz w:val="28"/>
          <w:szCs w:val="28"/>
          <w:rtl w:val="true"/>
          <w:lang w:bidi="fa-IR"/>
        </w:rPr>
        <w:t>:</w:t>
      </w:r>
    </w:p>
    <w:p>
      <w:pPr>
        <w:pStyle w:val="Heading4"/>
        <w:numPr>
          <w:ilvl w:val="3"/>
          <w:numId w:val="1"/>
        </w:numPr>
        <w:rPr/>
      </w:pPr>
      <w:bookmarkStart w:id="319" w:name="__RefHeading___Toc1920394_581953129"/>
      <w:bookmarkStart w:id="320" w:name="_Toc126"/>
      <w:bookmarkEnd w:id="319"/>
      <w:r>
        <w:rPr>
          <w:rtl w:val="true"/>
        </w:rPr>
        <w:t>أدلّة کون القرعة من الأصول وردّها</w:t>
      </w:r>
      <w:bookmarkEnd w:id="320"/>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موارد ثبوت القرعة عند العقلاء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یکون للمجهول المشتبه واقع معلوم عند اللّه وغیر معلوم عندنا، کالمساهمة فی قصّة یونس</w:t>
      </w:r>
      <w:r>
        <w:rPr>
          <w:rStyle w:val="FootnoteAnchor"/>
          <w:rtl w:val="true"/>
        </w:rPr>
        <w:footnoteReference w:id="268"/>
      </w:r>
      <w:r>
        <w:rPr>
          <w:rFonts w:ascii="IRNazanin" w:hAnsi="IRNazanin" w:eastAsia="IRNazanin"/>
          <w:color w:val="111111"/>
          <w:sz w:val="28"/>
          <w:sz w:val="28"/>
          <w:szCs w:val="28"/>
          <w:rtl w:val="true"/>
          <w:lang w:bidi="fa-IR"/>
        </w:rPr>
        <w:t>، بناءً علی کونها لأجل تشخیص العبد الآبق، کما فی أحد النقلین وقسم لا یکون له واقع معیّن، کالمساهمة فی قصّة تکفّل مریم، الواقعة فی الکتاب العزیز</w:t>
      </w:r>
      <w:r>
        <w:rPr>
          <w:rStyle w:val="FootnoteAnchor"/>
          <w:rtl w:val="true"/>
        </w:rPr>
        <w:footnoteReference w:id="269"/>
      </w:r>
      <w:r>
        <w:rPr>
          <w:rFonts w:ascii="IRNazanin" w:hAnsi="IRNazanin" w:eastAsia="IRNazanin"/>
          <w:color w:val="111111"/>
          <w:sz w:val="28"/>
          <w:sz w:val="28"/>
          <w:szCs w:val="28"/>
          <w:rtl w:val="true"/>
          <w:lang w:bidi="fa-IR"/>
        </w:rPr>
        <w:t>، ومن المعلوم أنّه لا تعقل الأماریّة فی القسم الثانی؛ لعدم ثبوت واقع حتّی تکون القرعة أمارة علیه، والظاهر أنّه لا فرق بین هذا القسم والقسم الأوّل عند العقلاء</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هذا القسم الذی لا یکون الواقع موجوداً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الواقع عبارة عن نفس السهم المخرج بالقرعة، وهذا أمر فوق سائر الأمارات، فتدبّر</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قلنا أنّ الطریقیّة والأماریّة قابلة لتعلّق الجعل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خلاف ما حقّقناه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مورده ما إذا کان المحلّ قابلاً لذلک الجعل، من جهة کونه واجداً لوصف الطریقیّة تکویناً؛ ضرورة أنّه</w:t>
      </w:r>
    </w:p>
    <w:p>
      <w:pPr>
        <w:pStyle w:val="BookText"/>
        <w:rPr/>
      </w:pPr>
      <w:r>
        <w:rPr>
          <w:rFonts w:ascii="IRNazanin" w:hAnsi="IRNazanin" w:eastAsia="IRNazanin"/>
          <w:color w:val="111111"/>
          <w:sz w:val="28"/>
          <w:sz w:val="28"/>
          <w:szCs w:val="28"/>
          <w:rtl w:val="true"/>
          <w:lang w:bidi="fa-IR"/>
        </w:rPr>
        <w:t>لا یعقل جعل الطریقیّة للشکّ مثلاً، ومن المعلوم أنّ القرعة بالکیفیّة المتداولة لا یکون فیها جهة کشف وإراءة أصلاً؛ ضرورة أنّ اجالة السهام ثمّ اخراج واحد منها لا یکون فیها کشف وطریقیّة ولیس مثل خبر الثقة وشهادة عدلین الذی یکون مشتملاً علی الکشف والإراءة فی نفسه، وحینئذٍ فکیف یمکن جعل الحجّیة لها، کما لا یخفی</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وجود جهة الطریقیّة والکاشفیّة للقرعة عند العقلاء، ولیست القرعة عندهم متساویة مع الشکّ فی هذه الجهة، وبعبارة أخری لیست القرعة لأجل تعیین سهم من السهام المتعدّدة، بل السهم الذی یکون مطابقاً للواقع یکون مخرجاً، وکیف کان التعابیر الواردة فی الروایات کالأعدلیّة والأصوبیّة والأحقّیة تناسب وجود الواقع، وتدلّ علی کاشفیّة القرعة عن الواقع،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حیث یکون موضوع القرعة هو المجهول بما أنّه مجهول، نظیر سائر الأُصول التی موردها خصوص صورة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کأصالة الحلیّة والاستصحاب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الالتزام بکونها مثلها فی عدم کونها أمارة</w:t>
      </w:r>
      <w:r>
        <w:rPr>
          <w:rFonts w:eastAsia="IRNazanin" w:cs="IRNazanin"/>
          <w:color w:val="111111"/>
          <w:sz w:val="28"/>
          <w:szCs w:val="28"/>
          <w:rtl w:val="true"/>
          <w:lang w:bidi="fa-IR"/>
        </w:rPr>
        <w:t>.</w:t>
      </w:r>
      <w:r>
        <w:rPr>
          <w:rStyle w:val="FootnoteAnchor"/>
          <w:rtl w:val="true"/>
        </w:rPr>
        <w:footnoteReference w:id="272"/>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إجراء القرعة یزول الجهل والشکّ، وهذا ینافی کونها أصلاً،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عدم تمامیّة الأدلّة الدالّة علی کونها أصلاً، فهی أمارة جلیّة بناءً علی التعابیر الموجودة فی الروایات، واللّه العالم، والحمد للّه‌ربّ العالمین</w:t>
      </w:r>
      <w:r>
        <w:rPr>
          <w:rFonts w:eastAsia="IRNazanin" w:cs="IRNazanin"/>
          <w:color w:val="111111"/>
          <w:sz w:val="28"/>
          <w:szCs w:val="28"/>
          <w:rtl w:val="true"/>
          <w:lang w:bidi="fa-IR"/>
        </w:rPr>
        <w:t>.</w:t>
      </w:r>
      <w:bookmarkStart w:id="321" w:name="pg5448_41308"/>
    </w:p>
    <w:p>
      <w:pPr>
        <w:pStyle w:val="Heading2"/>
        <w:numPr>
          <w:ilvl w:val="1"/>
          <w:numId w:val="1"/>
        </w:numPr>
        <w:rPr/>
      </w:pPr>
      <w:bookmarkStart w:id="322" w:name="__RefHeading___Toc1920396_581953129"/>
      <w:bookmarkStart w:id="323" w:name="_Toc127"/>
      <w:bookmarkEnd w:id="321"/>
      <w:bookmarkEnd w:id="322"/>
      <w:r>
        <w:rPr>
          <w:rtl w:val="true"/>
        </w:rPr>
        <w:t>فهرس المنابع</w:t>
      </w:r>
      <w:bookmarkEnd w:id="3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أجود التقریرات، تقریراً لأبحاث المیرزا محمّد حسین الغروی النائینی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أبو القاسم بن علی أکبر بن هاشم الموسوی الخوئی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الطبعة الاُولی،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إرشاد الأذهان إلی أحکام الإیمان، لأبی منصور جمال الدین الحسن بن یوسف بن علیّ بن المطهّر الأسدی،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الحلّی</w:t>
      </w:r>
      <w:r>
        <w:rPr>
          <w:rFonts w:eastAsia="IRNazanin" w:cs="IRNazanin"/>
          <w:color w:val="111111"/>
          <w:sz w:val="28"/>
          <w:szCs w:val="28"/>
          <w:rtl w:val="true"/>
          <w:lang w:bidi="fa-IR"/>
        </w:rPr>
        <w:t>»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فی معرفة حجج اللّه علی العباد، لأبی عبد اللّه محمّد بن محمّد بن النعمان بن عبد السلام بن جابر العُکبری البغدادی،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المعلّم</w:t>
      </w:r>
      <w:r>
        <w:rPr>
          <w:rFonts w:eastAsia="IRNazanin" w:cs="IRNazanin"/>
          <w:color w:val="111111"/>
          <w:sz w:val="28"/>
          <w:szCs w:val="28"/>
          <w:rtl w:val="true"/>
          <w:lang w:bidi="fa-IR"/>
        </w:rPr>
        <w:t>» (</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علیهما السلام لإحیاء التراث، بیروت،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الاستبصار فیما اختلف من الأخبار، لشیخ الطائفة أبی جعفر محمّد بن</w:t>
      </w:r>
    </w:p>
    <w:p>
      <w:pPr>
        <w:pStyle w:val="BookText"/>
        <w:rPr/>
      </w:pPr>
      <w:r>
        <w:rPr>
          <w:rFonts w:ascii="IRNazanin" w:hAnsi="IRNazanin" w:eastAsia="IRNazanin"/>
          <w:color w:val="111111"/>
          <w:sz w:val="28"/>
          <w:sz w:val="28"/>
          <w:szCs w:val="28"/>
          <w:rtl w:val="true"/>
          <w:lang w:bidi="fa-IR"/>
        </w:rPr>
        <w:t xml:space="preserve">الحسن بن علیّ بن الحسن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طهران، الطبعة الثالثة،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الإستصحاب، للسیّد الإمام الخمینی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تنظیم ونشر آثار الإمام الخمینی،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الإعلام، المطبوع فی سلسلة مؤلفات الشیخ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لأبی عبد اللّه محمّد بن محمّد بن النعمان بن عبد السلام بن جابر العکبری البغدادی،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المعلّم</w:t>
      </w:r>
      <w:r>
        <w:rPr>
          <w:rFonts w:eastAsia="IRNazanin" w:cs="IRNazanin"/>
          <w:color w:val="111111"/>
          <w:sz w:val="28"/>
          <w:szCs w:val="28"/>
          <w:rtl w:val="true"/>
          <w:lang w:bidi="fa-IR"/>
        </w:rPr>
        <w:t>» (</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المفید، قم،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الاقتصاد، لشیخ الطائفة أبی جعفر محمّد بن الحسن بن علیّ بن الحسن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الأضواء، بیروت، الطبعة الثانیة،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لأبی جعفر بن علیّ بن الحسین بن موسی بن بابویه القمّی،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البعثة، قم، 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الأمان من أخطار الأسفارد الأزمان، للسیّد علیّ بن موسی بن جعفر بن محمّد بن محمّد بن أحمد بن محمّد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اسحاق بن الحسن بن محمّد بن سلیمان بن داود بن الحسن المثنی بن الحسن بن علیّ بن أبی طالب علیهما السلام </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علیهما السلام لإحیاء التراث، بیروت، الطبعة الثانیة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الانتصار، لعلیّ بن الحسین بن موسی بن محمّد بن موسی بن إبراهیم بن الإمام موسی بن جعفر علیهما السلام،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المرتضی وعلم الهدی</w:t>
      </w:r>
      <w:r>
        <w:rPr>
          <w:rFonts w:eastAsia="IRNazanin" w:cs="IRNazanin"/>
          <w:color w:val="111111"/>
          <w:sz w:val="28"/>
          <w:szCs w:val="28"/>
          <w:rtl w:val="true"/>
          <w:lang w:bidi="fa-IR"/>
        </w:rPr>
        <w:t>»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المشرّفة،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إیضاح الفوائد فی شرح مشکلات القواعد، لفخر المحقّقین محمّد بن الحسن بن یوسف بن المطهّر الحلّی </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قم، الطبعة الاُولی،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بحر الفوائد فی شرح الفرائد، للشیخ محمّد حسن الآشتیانی الرازی، مؤسّسة التاریخ العربی، بیروت، الطبعة الأولی،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الجامعة لدرر أخبار الأئمّة الأطهار علیهما السلام، للعلاّمة المولی محمّد باقر بن محمّد تقی المجلسی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الکتب الإسلامیّة،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بحوث فی الفقه، کتاب الإجارة، للشیخ محمّد حسین بن محمّد حسن بن علی أکبر بن آقا بابا بن آقا کوچک بن محمّد إسماعیل بن محمّد حاتم النخجوانی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الإصفهانی</w:t>
      </w:r>
      <w:r>
        <w:rPr>
          <w:rFonts w:eastAsia="IRNazanin" w:cs="IRNazanin"/>
          <w:color w:val="111111"/>
          <w:sz w:val="28"/>
          <w:szCs w:val="28"/>
          <w:rtl w:val="true"/>
          <w:lang w:bidi="fa-IR"/>
        </w:rPr>
        <w:t>» (</w:t>
      </w:r>
      <w:r>
        <w:rPr>
          <w:rFonts w:eastAsia="IRNazanin" w:cs="IRNazanin"/>
          <w:color w:val="111111"/>
          <w:sz w:val="28"/>
          <w:szCs w:val="28"/>
          <w:lang w:bidi="fa-IR"/>
        </w:rPr>
        <w:t>1296</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قم المشرّفة، الطبعة الثانیة،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بدائع الصنائع فی ترتیب الشرائع، لعلاء الدین محمّد بن أحمد بن أبی أحمد السمرقندی الکاسانی الملقّب بملک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إحیاء التراث العربی، بیروت،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بدایة المجتهد ونهایة المقتصد، لأبی الولید محمّد بن أحمد بن محمّد بن أحمد بن أحمد بن رشد القرطبی </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البرهان فی تفسیر القرآن، للسیّد هاشم بن سلیمان بن إسماعیل بن عبدالجواد بن علیّ بن سلیمان بن ناصر الحسینی البحرانی، التوبلی الکتکتانی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قم، 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الاُمم والملوک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جعفر محمّد بن جریر بن یزید بن کثیر بن غالب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بالاُفست عن الطبعة بالقاهرة،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تحریر الأحکام الشرعیّة علی مذهب الإمامیّة، لأبی منصور جمال الدین</w:t>
      </w:r>
    </w:p>
    <w:p>
      <w:pPr>
        <w:pStyle w:val="BookText"/>
        <w:rPr/>
      </w:pPr>
      <w:r>
        <w:rPr>
          <w:rFonts w:ascii="IRNazanin" w:hAnsi="IRNazanin" w:eastAsia="IRNazanin"/>
          <w:color w:val="111111"/>
          <w:sz w:val="28"/>
          <w:sz w:val="28"/>
          <w:szCs w:val="28"/>
          <w:rtl w:val="true"/>
          <w:lang w:bidi="fa-IR"/>
        </w:rPr>
        <w:t xml:space="preserve">الحسن بن یوسف بن علیّ بن المطهّر الأسدی،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الحلّی</w:t>
      </w:r>
      <w:r>
        <w:rPr>
          <w:rFonts w:eastAsia="IRNazanin" w:cs="IRNazanin"/>
          <w:color w:val="111111"/>
          <w:sz w:val="28"/>
          <w:szCs w:val="28"/>
          <w:rtl w:val="true"/>
          <w:lang w:bidi="fa-IR"/>
        </w:rPr>
        <w:t>»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علیه السلام، قم، الطبعة الاُولی، </w:t>
      </w:r>
      <w:r>
        <w:rPr>
          <w:rFonts w:eastAsia="IRNazanin" w:cs="IRNazanin"/>
          <w:color w:val="111111"/>
          <w:sz w:val="28"/>
          <w:szCs w:val="28"/>
          <w:lang w:bidi="fa-IR"/>
        </w:rPr>
        <w:t>1420</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تحریر المجلّة، للشیخ محمّد حسین بن الشیخ علیّ بن الشیخ محمّد رضا بن الشیخ موسی بن الشیخ جعفر بن الشیخ خضر بن الشیخ یحیی بن مطر بن سیف الدین المالکی النجفی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العالمی للتقریب بین المذاهب الإسلامیه، الطبعة الأولی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عن آل الرسول صلی الله علیه و آله، لأبی محمّد الحسن بن علیّ بن الحسین بن شعبة الحرّانی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الطبعة الخامسة،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الفقهاء، لأبی منصور جمال الدین الحسن بن یوسف بن علیّ بن المطهّر الأسدی،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الحلّی</w:t>
      </w:r>
      <w:r>
        <w:rPr>
          <w:rFonts w:eastAsia="IRNazanin" w:cs="IRNazanin"/>
          <w:color w:val="111111"/>
          <w:sz w:val="28"/>
          <w:szCs w:val="28"/>
          <w:rtl w:val="true"/>
          <w:lang w:bidi="fa-IR"/>
        </w:rPr>
        <w:t>»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قم، 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مکتبه المرتضویّة لإحیاء الآثار الجعفریّة،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تسدید القواعد فی حاشیة الفرائد، للشیخ محمّد بن ملاّ محمّد علی الإمامی النجفی الخوانساری </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لأبی النضر محمّد بن مسعود بن محمّد بن عیّاش السلمی السمرقندی،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الثالث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العلمیّة الإسلامیّة، طهران، الطبعة الاُولی،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القمّی، لأبی الحسن علیّ بن إبراهیم بن هاشم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أعلام قرنی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النجف، النجف الأشرف، الطبعة الثانیة،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مقتنیات الدرر، للسیّد علیّ الحائری الطهرانی، مؤسّسة التاریخ العربی، بیروت، الطبعة الاُولی،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تفصیل الشریعة فی شرح تحریر الوسیلة، الإجارة، لسماحة الفقیه آیة اللّه العظمی الجاجّ الشیخ محمّد الفاضل اللنکرانی قدس سره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الفقه الأئمّة الأطهار علیهم السلام، قم، الطبعة الثانیة،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تفصیل الشریعة فی شرح تحریر الوسیلة، موسوعة الإمام الفاضل قدس سره، کتاب الصلاة، لآیة اللّه العظمی الحاجّ الشیخ محمّد الفاضل اللنکرانی قدس سره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فقه الأئمّة الأطهار علیهم السلام، قم، الطبعة الاُولی،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تمهید القواعد، لزین الدین بن نور الدین علی بن أحمد بن تقی الدین صالح بن مُشرف الشامی، العاملی الجبعی،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الثانی</w:t>
      </w:r>
      <w:r>
        <w:rPr>
          <w:rFonts w:eastAsia="IRNazanin" w:cs="IRNazanin"/>
          <w:color w:val="111111"/>
          <w:sz w:val="28"/>
          <w:szCs w:val="28"/>
          <w:rtl w:val="true"/>
          <w:lang w:bidi="fa-IR"/>
        </w:rPr>
        <w:t>»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قم المقدّسة، 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التنقیح الرائع لمختصر الشرائع، لجمال الدین أبی عبداللّه المقداد بن عبد اللّه بن محمّد بن الحسین بن محمّد السیوری،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المقداد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النجفی، قم، الطبعة الاُولی،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التنقیح فی شرح العروة الوثقی، تقریراً لأبحاث السیّد أبو القاسم بن علی أکبر بن هاشم الموسوی الخوئی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علیّ الغروی التبریزی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إحیاء آثار الإمام الخوئی، قم، الطبعة الثانیة،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الأحکام فی شرح المقنعة، لشیخ الطائفة أبی جعفر محمّد بن الحسن بن علی بن الحسن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طهران،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لأبی جعفر محمّد بن علیّ بن الحسین بن موسی بن بابویه القمّی،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جماعة المدرّسین، قم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الجامع لأحکام القرآن، لأبی عبد اللّه محمّد بن أحمد بن أبی بکر بن فرح</w:t>
      </w:r>
    </w:p>
    <w:p>
      <w:pPr>
        <w:pStyle w:val="BookText"/>
        <w:rPr/>
      </w:pPr>
      <w:r>
        <w:rPr>
          <w:rFonts w:ascii="IRNazanin" w:hAnsi="IRNazanin" w:eastAsia="IRNazanin"/>
          <w:color w:val="111111"/>
          <w:sz w:val="28"/>
          <w:sz w:val="28"/>
          <w:szCs w:val="28"/>
          <w:rtl w:val="true"/>
          <w:lang w:bidi="fa-IR"/>
        </w:rPr>
        <w:t xml:space="preserve">الانصاری الخزرجی، الأندلسی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البیان فی تأویل آی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جعفر محمّد بن جریر بن یزید بن کثیر بن غالب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حزم، بیروت، الطبعة الاُولی،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فی شرح القواعد، لنور الدین أبی الحسن علیّ بن الحسین بن علیّ بن عبد العالی الکرکی،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الثانی</w:t>
      </w:r>
      <w:r>
        <w:rPr>
          <w:rFonts w:eastAsia="IRNazanin" w:cs="IRNazanin"/>
          <w:color w:val="111111"/>
          <w:sz w:val="28"/>
          <w:szCs w:val="28"/>
          <w:rtl w:val="true"/>
          <w:lang w:bidi="fa-IR"/>
        </w:rPr>
        <w:t>» (</w:t>
      </w:r>
      <w:r>
        <w:rPr>
          <w:rFonts w:eastAsia="IRNazanin" w:cs="IRNazanin"/>
          <w:color w:val="111111"/>
          <w:sz w:val="28"/>
          <w:szCs w:val="28"/>
          <w:lang w:bidi="fa-IR"/>
        </w:rPr>
        <w:t>868</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قم،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الفقه، للشیخ سعد الدین أبی القاسم عبد العزیز بن نحریر بن عبد العزیز بن البرّاج الطرابلسی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الکلام فی شرح شرائع الإسلام، للشیخ محمّد حسن بن باقر بن عبد الرحیم بن آغا محمّد الصغیر بن عبد الرحیم الشریف الکبیر،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بقم المشرّفة،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ودار الکتب الإسلامیّة، النجف الأشرف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حاشیة فرائد الاصول، تقریراً لأبحاث السیّد محمّد کاظم الطباطبائی الیزدی، للشیخ محمّد إبراهیم الیزدی النجفی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الهدی، الطبعة الاُولی،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الحدائق الناضرة فی أحکام العترة الطاهرة، لشیخ المحمّدثین یوسف بن أحمد بن إبراهیم بن أحمد بن صالح بن أحمد بن عصفور البحرانی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حلیة الأولیاء، لأبی نعیم أحمد بن عبد اللّه بن أحمد بن إسحاق بن موسی بن مهران الأصبهانی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لأبی جعفر محمّد بن علیّ بن الحسین بن موسی بن بابویه القمّی،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الطبعة الخامسة،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خلاصة الأقوال فی معرفة الرجال، لأبی منصور جمال الدین الحسن بن یوسف بن علیّ بن المطهّر الأسدی،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الحلّی</w:t>
      </w:r>
      <w:r>
        <w:rPr>
          <w:rFonts w:eastAsia="IRNazanin" w:cs="IRNazanin"/>
          <w:color w:val="111111"/>
          <w:sz w:val="28"/>
          <w:szCs w:val="28"/>
          <w:rtl w:val="true"/>
          <w:lang w:bidi="fa-IR"/>
        </w:rPr>
        <w:t>»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الفقاهة، قم،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الخلاف، لشیخ الطائفة أبی جعفر محمّد بن الحسن بن علیّ بن الحسن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الطبعة الخامسة،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درر الفوائد فی الحاشیة علی الفرائد، للشیخ محمّد کاظم بن المولی حسین الهروی الخراسانی،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الآخوند الخراسانی</w:t>
      </w:r>
      <w:r>
        <w:rPr>
          <w:rFonts w:eastAsia="IRNazanin" w:cs="IRNazanin"/>
          <w:color w:val="111111"/>
          <w:sz w:val="28"/>
          <w:szCs w:val="28"/>
          <w:rtl w:val="true"/>
          <w:lang w:bidi="fa-IR"/>
        </w:rPr>
        <w:t>» (</w:t>
      </w:r>
      <w:r>
        <w:rPr>
          <w:rFonts w:eastAsia="IRNazanin" w:cs="IRNazanin"/>
          <w:color w:val="111111"/>
          <w:sz w:val="28"/>
          <w:szCs w:val="28"/>
          <w:lang w:bidi="fa-IR"/>
        </w:rPr>
        <w:t>1255</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الثقافة والإرشاد الإسلامی، طهران، 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الدروس الشرعیّة فی فقه الإمامیّة، للشیخ شمس الدین أبی عبد اللّه محمّد بن مکّی بن محمّد بن حامد بن أحمد المطلّبی، الجزینی العاملی،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الأوّل</w:t>
      </w:r>
      <w:r>
        <w:rPr>
          <w:rFonts w:eastAsia="IRNazanin" w:cs="IRNazanin"/>
          <w:color w:val="111111"/>
          <w:sz w:val="28"/>
          <w:szCs w:val="28"/>
          <w:rtl w:val="true"/>
          <w:lang w:bidi="fa-IR"/>
        </w:rPr>
        <w:t>» (</w:t>
      </w:r>
      <w:r>
        <w:rPr>
          <w:rFonts w:eastAsia="IRNazanin" w:cs="IRNazanin"/>
          <w:color w:val="111111"/>
          <w:sz w:val="28"/>
          <w:szCs w:val="28"/>
          <w:lang w:bidi="fa-IR"/>
        </w:rPr>
        <w:t>734</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الطبعة الثانیة،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الإسلام وذکر الحلال والحرام، والقضایا والأحکام، عن أهل بیت رسول اللّه علیه وعلیهم أفضل السلام، لنعمان بن محمّد بن منصور بن أحمد بن حیّون التمیمی المغربی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بمصر، القاهرة، الطبعة الثانیة، </w:t>
      </w:r>
      <w:r>
        <w:rPr>
          <w:rFonts w:eastAsia="IRNazanin" w:cs="IRNazanin"/>
          <w:color w:val="111111"/>
          <w:sz w:val="28"/>
          <w:szCs w:val="28"/>
          <w:lang w:bidi="fa-IR"/>
        </w:rPr>
        <w:t>1383</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ذکری الشیعة فی أحکام الشریعة، للشیخ شمس الدین أبی عبد اللّه محمد</w:t>
      </w:r>
    </w:p>
    <w:p>
      <w:pPr>
        <w:pStyle w:val="BookText"/>
        <w:rPr/>
      </w:pPr>
      <w:r>
        <w:rPr>
          <w:rFonts w:ascii="IRNazanin" w:hAnsi="IRNazanin" w:eastAsia="IRNazanin"/>
          <w:color w:val="111111"/>
          <w:sz w:val="28"/>
          <w:sz w:val="28"/>
          <w:szCs w:val="28"/>
          <w:rtl w:val="true"/>
          <w:lang w:bidi="fa-IR"/>
        </w:rPr>
        <w:t xml:space="preserve">بن مکّی بن محمّد بن حامد بن أحمد المطّلبی، العاملی الجزینی،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الأوّل</w:t>
      </w:r>
      <w:r>
        <w:rPr>
          <w:rFonts w:eastAsia="IRNazanin" w:cs="IRNazanin"/>
          <w:color w:val="111111"/>
          <w:sz w:val="28"/>
          <w:szCs w:val="28"/>
          <w:rtl w:val="true"/>
          <w:lang w:bidi="fa-IR"/>
        </w:rPr>
        <w:t>» (</w:t>
      </w:r>
      <w:r>
        <w:rPr>
          <w:rFonts w:eastAsia="IRNazanin" w:cs="IRNazanin"/>
          <w:color w:val="111111"/>
          <w:sz w:val="28"/>
          <w:szCs w:val="28"/>
          <w:lang w:bidi="fa-IR"/>
        </w:rPr>
        <w:t>734</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قم، الطبعة الاُولی،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الطوسی، لشیخ الطائفة أبی جعفر محمّد بن الحسن بن علیّ بن الحسن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النجاشی، لأبی العباس أحمد بن علیّ بن أحمد بن العبّاس النجاشی، الأسدی الکوفی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الطبع السادسة،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 الجنان فی شرح إرشاد الأذهان، لزین الدین بن علیّ بن أحمد العاملی الجبعی،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الثانی</w:t>
      </w:r>
      <w:r>
        <w:rPr>
          <w:rFonts w:eastAsia="IRNazanin" w:cs="IRNazanin"/>
          <w:color w:val="111111"/>
          <w:sz w:val="28"/>
          <w:szCs w:val="28"/>
          <w:rtl w:val="true"/>
          <w:lang w:bidi="fa-IR"/>
        </w:rPr>
        <w:t>»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الأبحاث والدراسات الإسلامیة، قم، الطبعة الاُولی،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الروضة البهیّة فی شرح اللمعة الدمشقیّة، لزین الدین بن نور الدین علیّ بن أحمد بن تقیّ الدین صالح بن مشرف الشامی، العاملی الجبعی،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الثانی</w:t>
      </w:r>
      <w:r>
        <w:rPr>
          <w:rFonts w:eastAsia="IRNazanin" w:cs="IRNazanin"/>
          <w:color w:val="111111"/>
          <w:sz w:val="28"/>
          <w:szCs w:val="28"/>
          <w:rtl w:val="true"/>
          <w:lang w:bidi="fa-IR"/>
        </w:rPr>
        <w:t>»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بیروت، الطبعة الثانیة،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ریاض المسائل فی بیان أحکام الشرع بالدلائل، للسیّد علیّ بن محمّد علیّ بن أبی المعالی الصغیر بن أبی المعالی الکبیر الطباطبائی، الحسنی الحائری </w:t>
      </w:r>
      <w:r>
        <w:rPr>
          <w:rFonts w:eastAsia="IRNazanin" w:cs="IRNazanin"/>
          <w:color w:val="111111"/>
          <w:sz w:val="28"/>
          <w:szCs w:val="28"/>
          <w:rtl w:val="true"/>
          <w:lang w:bidi="fa-IR"/>
        </w:rPr>
        <w:t>(</w:t>
      </w:r>
      <w:r>
        <w:rPr>
          <w:rFonts w:eastAsia="IRNazanin" w:cs="IRNazanin"/>
          <w:color w:val="111111"/>
          <w:sz w:val="28"/>
          <w:szCs w:val="28"/>
          <w:lang w:bidi="fa-IR"/>
        </w:rPr>
        <w:t>1161</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الطبعة الثانیة،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الزهد، للحسین بن سعید بن حمّاد بن سعید بن مهران الأهوازی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الثانی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قم،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السرائر الحاوی لتحریر الفتاوی، لمحمد بن منصور بن أحمد بن إدریس بن الحسین بن القاسم بن عیسی العجلی </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الطبعة الثانیة،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الشرح الکبیر علی متن المقنع، لعبد الرحمن بن محمّد بن أحمد بن قدامة المقدسی الحنبلی، شمس الدین أبو محمّد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الطبعة الثانیة،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الصحاح، المسمّی تاج اللّغة وصحاح العربیّة، لأبی نصر إسماعیل بن حمّاد الجوهری الفارابی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لأبی الحسین مسلم بن الحجّاج بن مسلم القشیری النیسابوری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حزم، بیروت، 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لأبی جعفر محمّد بن علیّ بن الحسین بن موسی بن بابویه القمّی،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الحیدریّة ومطبعتها، النجف الأشرف،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العناوین، للسیّد میر عبد الفتاح بن علیّ الحسینی المراغی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النشر الإسلامی، قم،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عوائد الأیّام، للمولی أحمد بن محمّد مهدی بن أبی ذرّ،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النراقی</w:t>
      </w:r>
      <w:r>
        <w:rPr>
          <w:rFonts w:eastAsia="IRNazanin" w:cs="IRNazanin"/>
          <w:color w:val="111111"/>
          <w:sz w:val="28"/>
          <w:szCs w:val="28"/>
          <w:rtl w:val="true"/>
          <w:lang w:bidi="fa-IR"/>
        </w:rPr>
        <w:t>» (</w:t>
      </w:r>
      <w:r>
        <w:rPr>
          <w:rFonts w:eastAsia="IRNazanin" w:cs="IRNazanin"/>
          <w:color w:val="111111"/>
          <w:sz w:val="28"/>
          <w:szCs w:val="28"/>
          <w:lang w:bidi="fa-IR"/>
        </w:rPr>
        <w:t>1185</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الأبحاث والدارسات الإسلامیّة، قم،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عوالی اللئالی العزیزیّة فی الأحادیث الدینیّة، للشیخ محمّد بن علیّ بن إبراهیم بن الحسن بن إبراهیم بن أبی جمهور الشیبانی الأحسائی،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أبی جمهور</w:t>
      </w:r>
      <w:r>
        <w:rPr>
          <w:rFonts w:eastAsia="IRNazanin" w:cs="IRNazanin"/>
          <w:color w:val="111111"/>
          <w:sz w:val="28"/>
          <w:szCs w:val="28"/>
          <w:rtl w:val="true"/>
          <w:lang w:bidi="fa-IR"/>
        </w:rPr>
        <w:t>» (</w:t>
      </w:r>
      <w:r>
        <w:rPr>
          <w:rFonts w:eastAsia="IRNazanin" w:cs="IRNazanin"/>
          <w:color w:val="111111"/>
          <w:sz w:val="28"/>
          <w:szCs w:val="28"/>
          <w:lang w:bidi="fa-IR"/>
        </w:rPr>
        <w:t>838</w:t>
      </w:r>
      <w:r>
        <w:rPr>
          <w:rFonts w:eastAsia="IRNazanin" w:cs="IRNazanin"/>
          <w:color w:val="111111"/>
          <w:sz w:val="28"/>
          <w:szCs w:val="28"/>
          <w:rtl w:val="true"/>
          <w:lang w:bidi="fa-IR"/>
        </w:rPr>
        <w:t>-</w:t>
      </w:r>
      <w:r>
        <w:rPr>
          <w:rFonts w:eastAsia="IRNazanin" w:cs="IRNazanin"/>
          <w:color w:val="111111"/>
          <w:sz w:val="28"/>
          <w:szCs w:val="28"/>
          <w:lang w:bidi="fa-IR"/>
        </w:rPr>
        <w:t>902</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سیّد الشهداء علیه السلام، قم، الطبعة الاُولی،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الغارات، لأبی إسحاق إبراهیم بن محمّد بن سعید بن هلال بن عاصم بن سعد بن مسعود الثقفی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الإسلامی، بیروت، 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غایة المراد فی شرح نکت الإرشاد، للشیخ شمس الدین أبی عبد اللّه محمّد بن مکّی بن محمّد بن حامد بن أحمد المطّلبی العاملی الجزینی،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الأوّل</w:t>
      </w:r>
      <w:r>
        <w:rPr>
          <w:rFonts w:eastAsia="IRNazanin" w:cs="IRNazanin"/>
          <w:color w:val="111111"/>
          <w:sz w:val="28"/>
          <w:szCs w:val="28"/>
          <w:rtl w:val="true"/>
          <w:lang w:bidi="fa-IR"/>
        </w:rPr>
        <w:t>» (</w:t>
      </w:r>
      <w:r>
        <w:rPr>
          <w:rFonts w:eastAsia="IRNazanin" w:cs="IRNazanin"/>
          <w:color w:val="111111"/>
          <w:sz w:val="28"/>
          <w:szCs w:val="28"/>
          <w:lang w:bidi="fa-IR"/>
        </w:rPr>
        <w:t>734</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 الإعلام الإسلامی،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غرائب التفسیر و عجائب التأویل، لمحمود بن حمزة بن نضر الکرمانی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بعد سنة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القبلة، بیروت، جدّة، طبع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تحقیق شمران سرکان یونس العجلی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غنیة النزوع إلی علمی الاُصول والفروع، للسیّد أبی المکارم حمزة بن علیّ بن زهرة الحلبی،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زهرة</w:t>
      </w:r>
      <w:r>
        <w:rPr>
          <w:rFonts w:eastAsia="IRNazanin" w:cs="IRNazanin"/>
          <w:color w:val="111111"/>
          <w:sz w:val="28"/>
          <w:szCs w:val="28"/>
          <w:rtl w:val="true"/>
          <w:lang w:bidi="fa-IR"/>
        </w:rPr>
        <w:t>» (</w:t>
      </w:r>
      <w:r>
        <w:rPr>
          <w:rFonts w:eastAsia="IRNazanin" w:cs="IRNazanin"/>
          <w:color w:val="111111"/>
          <w:sz w:val="28"/>
          <w:szCs w:val="28"/>
          <w:lang w:bidi="fa-IR"/>
        </w:rPr>
        <w:t>511</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علیه السلام، قم،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الأبواب بین ذوی الألباب وبین ربّ الأرباب فی الاستخارات، للسیّد علیّ بن موسی بن جعفر بن محمّد بن محمّد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إسحاق بن الحسن بن محمّد بن سلیمان بن داود بن الحسن المثنی بن الحسن بن علیّ بن أبی طالب علیهما السلام </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بیروت،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الاُصول،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مرتضی بن محمّد أمین الأنصاری </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تراث الشیخ الأعظم، قم، الطبعة الاُولی،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الفقه علی المذاهب الأربعة، لعبد الرحمن بن محمّد عوض الجزیری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الفقه المنسوب للإمام الرضا علیه السلام، المعتمر العالمی للإمام الرضا علیه السلام، مشهد المقدّسة، الطبعة 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والطبعة الحجریّة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الفقیه من لا یحضره الفقیه، ومشیخته، لأبی جعفر محمّد بن علیّ بن</w:t>
      </w:r>
    </w:p>
    <w:p>
      <w:pPr>
        <w:pStyle w:val="BookText"/>
        <w:rPr/>
      </w:pPr>
      <w:r>
        <w:rPr>
          <w:rFonts w:ascii="IRNazanin" w:hAnsi="IRNazanin" w:eastAsia="IRNazanin"/>
          <w:color w:val="111111"/>
          <w:sz w:val="28"/>
          <w:sz w:val="28"/>
          <w:szCs w:val="28"/>
          <w:rtl w:val="true"/>
          <w:lang w:bidi="fa-IR"/>
        </w:rPr>
        <w:t xml:space="preserve">الحسین بن موسی بن بابویه القمّی،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طهران، الطبعة الخامسة،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لشیخ الطائفة أبی جعفر محمّد بن الحسن بن علیّ بن الحسن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نشر الفقاهة، قم،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فوائد الاُصول، من إفادات المیرزا محمّد حسین بن عبد الرحیم بن محمّد سعید بن عبد الرحیم الغروی النائینی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علیّ بن حسن بن محمّد القابچی، الخراسانی الکاظمی،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الجمالی</w:t>
      </w:r>
      <w:r>
        <w:rPr>
          <w:rFonts w:eastAsia="IRNazanin" w:cs="IRNazanin"/>
          <w:color w:val="111111"/>
          <w:sz w:val="28"/>
          <w:szCs w:val="28"/>
          <w:rtl w:val="true"/>
          <w:lang w:bidi="fa-IR"/>
        </w:rPr>
        <w:t>» (</w:t>
      </w:r>
      <w:r>
        <w:rPr>
          <w:rFonts w:eastAsia="IRNazanin" w:cs="IRNazanin"/>
          <w:color w:val="111111"/>
          <w:sz w:val="28"/>
          <w:szCs w:val="28"/>
          <w:lang w:bidi="fa-IR"/>
        </w:rPr>
        <w:t>1309</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النشر الإسلامی، قم، الطبعة الثامنة،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قاعدة الإلزام، للشیخ جواد الفاضل اللنکرنی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فقه الأئمّة الأطهار علیهم السلام، قم، الطبعة الاُولی،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قاعدة القرعة، للشیخ حسین الکریمی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فقه الأئمّة الأطهار علیهم السلام، الطبعة الاُولی،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القاموس المحیط، لمجد الدین أبی طاهر محمّد بن یعقوب بن محمّد بن إبراهیم الفیروز آبادی الشافعی </w:t>
      </w:r>
      <w:r>
        <w:rPr>
          <w:rFonts w:eastAsia="IRNazanin" w:cs="IRNazanin"/>
          <w:color w:val="111111"/>
          <w:sz w:val="28"/>
          <w:szCs w:val="28"/>
          <w:rtl w:val="true"/>
          <w:lang w:bidi="fa-IR"/>
        </w:rPr>
        <w:t>(</w:t>
      </w:r>
      <w:r>
        <w:rPr>
          <w:rFonts w:eastAsia="IRNazanin" w:cs="IRNazanin"/>
          <w:color w:val="111111"/>
          <w:sz w:val="28"/>
          <w:szCs w:val="28"/>
          <w:lang w:bidi="fa-IR"/>
        </w:rPr>
        <w:t>729</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بیروت، الطبعة الاُولی،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قواعد الأحکام، لأبی منصور جمال الدین الحسن بن یوسف بن علیّ بن المطهّر الأسدی،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الحلّی</w:t>
      </w:r>
      <w:r>
        <w:rPr>
          <w:rFonts w:eastAsia="IRNazanin" w:cs="IRNazanin"/>
          <w:color w:val="111111"/>
          <w:sz w:val="28"/>
          <w:szCs w:val="28"/>
          <w:rtl w:val="true"/>
          <w:lang w:bidi="fa-IR"/>
        </w:rPr>
        <w:t>»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القواعد الفقهیّة، لسماحة الفقیه المحقّق آیة اللّه العظمی الحاج الشیخ محمّد الفاضل اللنکرانی قدس سره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الفقه الأئمّة الأطهار علیهم السلام، قم، الطبعة الثانیة،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القواعد الفقهیّة، للمیرزا السیّد محمّد حسن البجنوردی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الهادی، قم، الطبعة الاُولی،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القواعد الفقهیّة، للشیخ ناصر مکارم الشیرازی، مدرسة الإمام علیّ بن أبی طالب علیه السلام، قم، الطبعة الاُولی،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القواعد والفوائد فی الفقه والاُصول العربیّة، لأبی عبد اللّه شمس الدین محمّد بن مکّی بن محمّد بن حامد بن أحمد المطّلبی، العاملی الجزینی،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الأوّل</w:t>
      </w:r>
      <w:r>
        <w:rPr>
          <w:rFonts w:eastAsia="IRNazanin" w:cs="IRNazanin"/>
          <w:color w:val="111111"/>
          <w:sz w:val="28"/>
          <w:szCs w:val="28"/>
          <w:rtl w:val="true"/>
          <w:lang w:bidi="fa-IR"/>
        </w:rPr>
        <w:t>» (</w:t>
      </w:r>
      <w:r>
        <w:rPr>
          <w:rFonts w:eastAsia="IRNazanin" w:cs="IRNazanin"/>
          <w:color w:val="111111"/>
          <w:sz w:val="28"/>
          <w:szCs w:val="28"/>
          <w:lang w:bidi="fa-IR"/>
        </w:rPr>
        <w:t>734</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المفید، قم، بالاُفست عن الطبع فی النجف الأشرف، سنة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القواعد فی الفقه الإسلامی، للحافظ أبی الفرج عبد الرحمن بن رجب الحنبلی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قوانین الاُصول، لأبی القاسم بن محمّد حسن بن نظر علیّ الجیلانی الشفتی، الرشتی الأصل،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والمحقّق القمّی</w:t>
      </w:r>
      <w:r>
        <w:rPr>
          <w:rFonts w:eastAsia="IRNazanin" w:cs="IRNazanin"/>
          <w:color w:val="111111"/>
          <w:sz w:val="28"/>
          <w:szCs w:val="28"/>
          <w:rtl w:val="true"/>
          <w:lang w:bidi="fa-IR"/>
        </w:rPr>
        <w:t>» (</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1152</w:t>
      </w:r>
      <w:r>
        <w:rPr>
          <w:rFonts w:eastAsia="IRNazanin" w:cs="IRNazanin"/>
          <w:color w:val="111111"/>
          <w:sz w:val="28"/>
          <w:szCs w:val="28"/>
          <w:rtl w:val="true"/>
          <w:lang w:bidi="fa-IR"/>
        </w:rPr>
        <w:t xml:space="preserve"> -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الطباعة للمیرزا حبیب اللّه، طهران، </w:t>
      </w:r>
      <w:r>
        <w:rPr>
          <w:rFonts w:eastAsia="IRNazanin" w:cs="IRNazanin"/>
          <w:color w:val="111111"/>
          <w:sz w:val="28"/>
          <w:szCs w:val="28"/>
          <w:lang w:bidi="fa-IR"/>
        </w:rPr>
        <w:t>1308</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القوانین المحکمة فی الاُصول، للمیرزا أبی القاسم بن محمّد حسن بن نظر علیّ الجیلانی الشفتی، الرشتی الأصل،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والمحقّق القمّی</w:t>
      </w:r>
      <w:r>
        <w:rPr>
          <w:rFonts w:eastAsia="IRNazanin" w:cs="IRNazanin"/>
          <w:color w:val="111111"/>
          <w:sz w:val="28"/>
          <w:szCs w:val="28"/>
          <w:rtl w:val="true"/>
          <w:lang w:bidi="fa-IR"/>
        </w:rPr>
        <w:t>» (</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1152</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المرتضی، بیروت، الطبعة الاُولی،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لثقة الإسلام أبی جعفر محمّد بن یعقوب بن إسحاق الکلینی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الإسلامیّة، طهران، الطبعة الثالثة، </w:t>
      </w:r>
      <w:r>
        <w:rPr>
          <w:rFonts w:eastAsia="IRNazanin" w:cs="IRNazanin"/>
          <w:color w:val="111111"/>
          <w:sz w:val="28"/>
          <w:szCs w:val="28"/>
          <w:lang w:bidi="fa-IR"/>
        </w:rPr>
        <w:t>1388</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الإجارة فی شرح شرائع الإسلام، للشیخ المیرزا حبیب اللّه الرشتی بن میرزا محمّد علی خان بن إسماعیل خان بن جهانگیر خان القوچانی الرانکوئی، الجیلانی الرشتی </w:t>
      </w: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الأربعین، للعلاّمة المولی محمّد باقر بن محمّد تقی المجلسی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العلمیّة، قم،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اللّثام عن قواعد الأحکام، لأبی الفضل بهاء الدین محمّد بن الحسن</w:t>
      </w:r>
    </w:p>
    <w:p>
      <w:pPr>
        <w:pStyle w:val="BookText"/>
        <w:rPr/>
      </w:pPr>
      <w:r>
        <w:rPr>
          <w:rFonts w:ascii="IRNazanin" w:hAnsi="IRNazanin" w:eastAsia="IRNazanin"/>
          <w:color w:val="111111"/>
          <w:sz w:val="28"/>
          <w:sz w:val="28"/>
          <w:szCs w:val="28"/>
          <w:rtl w:val="true"/>
          <w:lang w:bidi="fa-IR"/>
        </w:rPr>
        <w:t xml:space="preserve">الإصفهانی، المشهور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الهندی</w:t>
      </w:r>
      <w:r>
        <w:rPr>
          <w:rFonts w:eastAsia="IRNazanin" w:cs="IRNazanin"/>
          <w:color w:val="111111"/>
          <w:sz w:val="28"/>
          <w:szCs w:val="28"/>
          <w:rtl w:val="true"/>
          <w:lang w:bidi="fa-IR"/>
        </w:rPr>
        <w:t>» (</w:t>
      </w:r>
      <w:r>
        <w:rPr>
          <w:rFonts w:eastAsia="IRNazanin" w:cs="IRNazanin"/>
          <w:color w:val="111111"/>
          <w:sz w:val="28"/>
          <w:szCs w:val="28"/>
          <w:lang w:bidi="fa-IR"/>
        </w:rPr>
        <w:t>1062</w:t>
      </w:r>
      <w:r>
        <w:rPr>
          <w:rFonts w:eastAsia="IRNazanin" w:cs="IRNazanin"/>
          <w:color w:val="111111"/>
          <w:sz w:val="28"/>
          <w:szCs w:val="28"/>
          <w:rtl w:val="true"/>
          <w:lang w:bidi="fa-IR"/>
        </w:rPr>
        <w:t>-</w:t>
      </w:r>
      <w:r>
        <w:rPr>
          <w:rFonts w:eastAsia="IRNazanin" w:cs="IRNazanin"/>
          <w:color w:val="111111"/>
          <w:sz w:val="28"/>
          <w:szCs w:val="28"/>
          <w:lang w:bidi="fa-IR"/>
        </w:rPr>
        <w:t>1137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النشر الإسلامی، قم، 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کفایة الفقه، المشتهر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المولی محمّد باقر بن محمّد مؤمن الخراسانی السبزواری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الطبعة الاُولی،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الفوائد فی حلّ مشکلات القواعد، للسیّد عمید الدین عبد المطّلب بن محمّد بن علیّ بن محمّد بن أحمد بن علیّ الأعرج </w:t>
      </w: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المشرّفة، 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لأبی الفضل جمال الدین محمّد بن مکرم بن علیّ بن أحمد بن أبی القاسم بن حبقة بن منظور الأنصاری، الأفریقی المصری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بیروت، الطبعة الاُولی،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ماوراء الفقه، للسیّد محمّد الصدر، دار الأضواء، بیروت، الطبعة الاُولی،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المبسوط، أبی بکر محمّد بن أحمد بن أبی سهل السرخسی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بیروت، 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المبسوط فی فقه الإمامیّة، لشیخ الطائفة أبی جعفر محمّد بن الحسن بن علیّ بن الحسن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المکتبة المرتضویّة لإحیاء الآثار الجعفریّة، طهران، الطبعة الثانیة،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البحرین، للشیخ فخر الدین بن محمّد علیّ بن أحمد بن طریح الرّماحی النجفی، المشهور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الطریحی</w:t>
      </w:r>
      <w:r>
        <w:rPr>
          <w:rFonts w:eastAsia="IRNazanin" w:cs="IRNazanin"/>
          <w:color w:val="111111"/>
          <w:sz w:val="28"/>
          <w:szCs w:val="28"/>
          <w:rtl w:val="true"/>
          <w:lang w:bidi="fa-IR"/>
        </w:rPr>
        <w:t>» (</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قم، 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فی تفسیر القرآن، لأمین الإسلام أبی علیّ الفضل بن الحسن بن الفضل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468</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المجموع شرح المهذّب، لمحیی الدین أبی ذکریّا یحیی بن شرف بن مری بن حسن بن حسین بن محمّد بن جمعة بن حزام النووی </w:t>
      </w: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المحلّی بالآثار، لأبی محمّد علیّ بن أحمد بن سعید بن حزم الأندلسی،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حزم</w:t>
      </w:r>
      <w:r>
        <w:rPr>
          <w:rFonts w:eastAsia="IRNazanin" w:cs="IRNazanin"/>
          <w:color w:val="111111"/>
          <w:sz w:val="28"/>
          <w:szCs w:val="28"/>
          <w:rtl w:val="true"/>
          <w:lang w:bidi="fa-IR"/>
        </w:rPr>
        <w:t>» (</w:t>
      </w:r>
      <w:r>
        <w:rPr>
          <w:rFonts w:eastAsia="IRNazanin" w:cs="IRNazanin"/>
          <w:color w:val="111111"/>
          <w:sz w:val="28"/>
          <w:szCs w:val="28"/>
          <w:lang w:bidi="fa-IR"/>
        </w:rPr>
        <w:t>384</w:t>
      </w: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لأبی جعفر أحمد بن أبی عبد اللّه محمّد بن خالد بن عبد الرحمن بن محمّد بن علیّ البرقی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العالمی لأهل البیت علیهم السلام، قم، الطبعة الثانیة،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المحاضرات، مباحث فی أصول الفقه، للسیّد محمّد المحقّق الداماد، تقریر السیّد جلال الدین الطاهری الإصفهانی، المطبعة کیمیا، الطبعة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مختلف الشیعة فی أحکام الشریعة، لأبی منصور الحسن بن یوسف بن علیّ بن المطهّر الأسدی،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الحلّی</w:t>
      </w:r>
      <w:r>
        <w:rPr>
          <w:rFonts w:eastAsia="IRNazanin" w:cs="IRNazanin"/>
          <w:color w:val="111111"/>
          <w:sz w:val="28"/>
          <w:szCs w:val="28"/>
          <w:rtl w:val="true"/>
          <w:lang w:bidi="fa-IR"/>
        </w:rPr>
        <w:t>»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قم، 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مدارک الأحکام فی شرح شرائع الإسلام، للسیّد شمس الدین محمّد بن علیّ بن الحسین بن أبی الحسن الموسوی، العاملی الجبعی </w:t>
      </w:r>
      <w:r>
        <w:rPr>
          <w:rFonts w:eastAsia="IRNazanin" w:cs="IRNazanin"/>
          <w:color w:val="111111"/>
          <w:sz w:val="28"/>
          <w:szCs w:val="28"/>
          <w:rtl w:val="true"/>
          <w:lang w:bidi="fa-IR"/>
        </w:rPr>
        <w:t>(</w:t>
      </w:r>
      <w:r>
        <w:rPr>
          <w:rFonts w:eastAsia="IRNazanin" w:cs="IRNazanin"/>
          <w:color w:val="111111"/>
          <w:sz w:val="28"/>
          <w:szCs w:val="28"/>
          <w:lang w:bidi="fa-IR"/>
        </w:rPr>
        <w:t>946</w:t>
      </w:r>
      <w:r>
        <w:rPr>
          <w:rFonts w:eastAsia="IRNazanin" w:cs="IRNazanin"/>
          <w:color w:val="111111"/>
          <w:sz w:val="28"/>
          <w:szCs w:val="28"/>
          <w:rtl w:val="true"/>
          <w:lang w:bidi="fa-IR"/>
        </w:rPr>
        <w:t>-</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قم، 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مسالک الأفهام إلی تنقیح شرائع الإسلام، لزین الدین بن نور الدین علیّ بن أحمد بن تقیّ الدین صالح بن مشرف الشامی، العاملی الجبعی،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الثانی</w:t>
      </w:r>
      <w:r>
        <w:rPr>
          <w:rFonts w:eastAsia="IRNazanin" w:cs="IRNazanin"/>
          <w:color w:val="111111"/>
          <w:sz w:val="28"/>
          <w:szCs w:val="28"/>
          <w:rtl w:val="true"/>
          <w:lang w:bidi="fa-IR"/>
        </w:rPr>
        <w:t>»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قم، 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المستدرک علی الصحیحین، لأبی عبداللّه محمّد بن عبداللّه بن حمدویه بن نعیم بن الحکیم الضبیّ الطهمانی، النیسابوری الشافعی،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ابن البیّع</w:t>
      </w:r>
      <w:r>
        <w:rPr>
          <w:rFonts w:eastAsia="IRNazanin" w:cs="IRNazanin"/>
          <w:color w:val="111111"/>
          <w:sz w:val="28"/>
          <w:szCs w:val="28"/>
          <w:rtl w:val="true"/>
          <w:lang w:bidi="fa-IR"/>
        </w:rPr>
        <w:t>» (</w:t>
      </w:r>
      <w:r>
        <w:rPr>
          <w:rFonts w:eastAsia="IRNazanin" w:cs="IRNazanin"/>
          <w:color w:val="111111"/>
          <w:sz w:val="28"/>
          <w:szCs w:val="28"/>
          <w:lang w:bidi="fa-IR"/>
        </w:rPr>
        <w:t>321</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بیروت، الطبعة الأولی،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ومستنبط المسائل و خاتمته، للمیرزا حسین بن المیرزا محمّد تقی بن المیرزا علی محمّد بن تقی النوری الطبرسی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بیروت،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مستمسک العروة الوثقی، للسیّد محسن بن مهدی بن صالح بن أحمد بن محمود الطباطبائی الحکیم،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الآداب، النجف الأشرف، الطبعة الرابعة،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مستند الشیعة فی أحکام الشریعة، للمولی أحمد بن محمّد مهدی بن أبی ذرّ،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النراقی</w:t>
      </w:r>
      <w:r>
        <w:rPr>
          <w:rFonts w:eastAsia="IRNazanin" w:cs="IRNazanin"/>
          <w:color w:val="111111"/>
          <w:sz w:val="28"/>
          <w:szCs w:val="28"/>
          <w:rtl w:val="true"/>
          <w:lang w:bidi="fa-IR"/>
        </w:rPr>
        <w:t>» (</w:t>
      </w:r>
      <w:r>
        <w:rPr>
          <w:rFonts w:eastAsia="IRNazanin" w:cs="IRNazanin"/>
          <w:color w:val="111111"/>
          <w:sz w:val="28"/>
          <w:szCs w:val="28"/>
          <w:lang w:bidi="fa-IR"/>
        </w:rPr>
        <w:t>1185</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قم،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مصابیح الظلام فی شرح مفاتیح الشرائع، للآقا محمّد باقر بن محمّد أکمل بن محمّد صالح بن أحمد الإصفهانی، البهبانی الحائری،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الوحید البهبهانی</w:t>
      </w:r>
      <w:r>
        <w:rPr>
          <w:rFonts w:eastAsia="IRNazanin" w:cs="IRNazanin"/>
          <w:color w:val="111111"/>
          <w:sz w:val="28"/>
          <w:szCs w:val="28"/>
          <w:rtl w:val="true"/>
          <w:lang w:bidi="fa-IR"/>
        </w:rPr>
        <w:t>» (</w:t>
      </w:r>
      <w:r>
        <w:rPr>
          <w:rFonts w:eastAsia="IRNazanin" w:cs="IRNazanin"/>
          <w:color w:val="111111"/>
          <w:sz w:val="28"/>
          <w:szCs w:val="28"/>
          <w:lang w:bidi="fa-IR"/>
        </w:rPr>
        <w:t>1117</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العلاّمة المجدّد الوحید البهبهانی، قم، الطبعة الاُولی،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الفقیه، للحاج آقا محمّد رضا ابن الشیخ المولی الفقیه محمّد هادی الهمدانی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1250</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الجعفریّة لإحیاء التراث، قم،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ومکتبة الصدر بالطبعة الحجریّة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الأخبار، لأبی جعفر محمّد بن علیّ بن الحسین بن موسی بن بابویه القمّی،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النشر الإسلامی، قم، الطبعة الثالثة،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المعتبر فی شرح المختصر، لأبی القاسم نجم الدین جعفر بن الحسن بن أبی زکریّا یحیی بن حسن بن سعید الهذلی،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الحلّی</w:t>
      </w:r>
      <w:r>
        <w:rPr>
          <w:rFonts w:eastAsia="IRNazanin" w:cs="IRNazanin"/>
          <w:color w:val="111111"/>
          <w:sz w:val="28"/>
          <w:szCs w:val="28"/>
          <w:rtl w:val="true"/>
          <w:lang w:bidi="fa-IR"/>
        </w:rPr>
        <w:t>»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سیّد الشهداء علیه السلام، قم، الطبعة الاُولی،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رجال الحدیث، للسیّد أبو القاسم بن علی أکبر بن هاشم الموسوی الخوئی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آثار الشیعة، قم، الطبعة الرابعة،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المغنی، لعبد اللّه بن أحمد بن محمّد بن قدامة بن مقدام بن نصر المقدسی، ثمّ الدمشقی الحنبلی </w:t>
      </w: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الطبعة الثانیه،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مفتاح الکرامة فی شرح قواعد العلّامة، للسیّد محمّد جواد بن محمّد بن محمّد بن أحمد بن قاسم الحسینی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قم، الطبعة الاُولی، </w:t>
      </w:r>
      <w:r>
        <w:rPr>
          <w:rFonts w:eastAsia="IRNazanin" w:cs="IRNazanin"/>
          <w:color w:val="111111"/>
          <w:sz w:val="28"/>
          <w:szCs w:val="28"/>
          <w:lang w:bidi="fa-IR"/>
        </w:rPr>
        <w:t>1419</w:t>
      </w:r>
      <w:r>
        <w:rPr>
          <w:rFonts w:eastAsia="IRNazanin" w:cs="IRNazanin"/>
          <w:color w:val="111111"/>
          <w:sz w:val="28"/>
          <w:szCs w:val="28"/>
          <w:rtl w:val="true"/>
          <w:lang w:bidi="fa-IR"/>
        </w:rPr>
        <w:t>-</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ألفاظ القرآن، لأبی القاسم الحسین بن محمّد بن المفضّل، المعروف بالراغب الإصفهانی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ذوی القربی، قم، الطبعة الثالثة،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 للشیخ الأقدم أبی جعفر محمّد بن علیّ بن الحسین بن موسی بن بابویه القمّی،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الهادی علیه السلام،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المقنعة، لأبی عبد اللّه محمّد بن محمّد بن النعمان بن عبد السلام بن جابر العکبری البغدادی،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المعلّم</w:t>
      </w:r>
      <w:r>
        <w:rPr>
          <w:rFonts w:eastAsia="IRNazanin" w:cs="IRNazanin"/>
          <w:color w:val="111111"/>
          <w:sz w:val="28"/>
          <w:szCs w:val="28"/>
          <w:rtl w:val="true"/>
          <w:lang w:bidi="fa-IR"/>
        </w:rPr>
        <w:t>»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النشر الإسلامی، قم، الطبعة الثانیة،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المهذّب، للشیخ سعد الدین أبی القاسم عبد العزیز بن نحریر بن عبد العزیز بن البرّاج الطرابلسی،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ابن البرّاج</w:t>
      </w:r>
      <w:r>
        <w:rPr>
          <w:rFonts w:eastAsia="IRNazanin" w:cs="IRNazanin"/>
          <w:color w:val="111111"/>
          <w:sz w:val="28"/>
          <w:szCs w:val="28"/>
          <w:rtl w:val="true"/>
          <w:lang w:bidi="fa-IR"/>
        </w:rPr>
        <w:t>» (</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المهذّب البارع فی شرح المختصر النافع، للشیخ جمال الدین أبی العبّاس أحمد بن محمّد بن فهد الحلّی الأسدی </w:t>
      </w: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النشر الإسلامی، قم، </w:t>
      </w:r>
      <w:r>
        <w:rPr>
          <w:rFonts w:eastAsia="IRNazanin" w:cs="IRNazanin"/>
          <w:color w:val="111111"/>
          <w:sz w:val="28"/>
          <w:szCs w:val="28"/>
          <w:lang w:bidi="fa-IR"/>
        </w:rPr>
        <w:t>1407</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المهذّب فی فقه الشافعی، لأبی إسحاق إبراهیم بن علیّ بن یوسف بن عبد اللّه الفیروزآبادی، الشیرازی الشافعی </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دمشق، دار الشامیّة، بیروت،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المؤتلف من المختلف بین أئمّة السلف، لأمین الإسلام أبی علی الفضل بن الحسن بن الفضل الطبرس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الإسلامیّة، مشهد، 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المیزان فی تفسیر القرآن، للسیّد محمّد حسین بن میرزا محمّد آقا،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الطباطبائی</w:t>
      </w:r>
      <w:r>
        <w:rPr>
          <w:rFonts w:eastAsia="IRNazanin" w:cs="IRNazanin"/>
          <w:color w:val="111111"/>
          <w:sz w:val="28"/>
          <w:szCs w:val="28"/>
          <w:rtl w:val="true"/>
          <w:lang w:bidi="fa-IR"/>
        </w:rPr>
        <w:t>» (</w:t>
      </w:r>
      <w:r>
        <w:rPr>
          <w:rFonts w:eastAsia="IRNazanin" w:cs="IRNazanin"/>
          <w:color w:val="111111"/>
          <w:sz w:val="28"/>
          <w:szCs w:val="28"/>
          <w:lang w:bidi="fa-IR"/>
        </w:rPr>
        <w:t>1321</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مطبوعاتی إسماعیلیان، قم، الطبعة الثانیة،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نهایة الأفکار، تقریر أبحاث الشیخ ضیاء الدین إبن المولی محمّد العراقی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تقی البروجردی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نهایة الدرایة فی شرح الکفایة، للشیخ محمّد حسین بن محمّد حسن بن علی أکبر بن آقا بابا بن آقا کوچک بن محمّد إسماعیل بن محمّد حاتم النخجوانی،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الإصفهانی</w:t>
      </w:r>
      <w:r>
        <w:rPr>
          <w:rFonts w:eastAsia="IRNazanin" w:cs="IRNazanin"/>
          <w:color w:val="111111"/>
          <w:sz w:val="28"/>
          <w:szCs w:val="28"/>
          <w:rtl w:val="true"/>
          <w:lang w:bidi="fa-IR"/>
        </w:rPr>
        <w:t>» (</w:t>
      </w:r>
      <w:r>
        <w:rPr>
          <w:rFonts w:eastAsia="IRNazanin" w:cs="IRNazanin"/>
          <w:color w:val="111111"/>
          <w:sz w:val="28"/>
          <w:szCs w:val="28"/>
          <w:lang w:bidi="fa-IR"/>
        </w:rPr>
        <w:t>1296</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البیت علیهم السلام، لإحیاء التراث، قم،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فی مجرّد الفقه والفتاوی، لشیخ الطائفة أبی جعفر محمّد بن الحسن بن علیّ بن الحسن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بیروت، الطبعة الاُولی،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النوادر، لأبی جعفر أحمد بن محمّد بن عیسی بن عبد اللّه بن سعد بن مالک بن الأحوصی الأشعری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الإمام المهدی علیه السلام، قم،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نیل الأوطار من أحادیث سیّد الأخیار، لمحمّد بن علیّ بن محمّد بن عبد اللّه الشوکانی الصنعانی </w:t>
      </w:r>
      <w:r>
        <w:rPr>
          <w:rFonts w:eastAsia="IRNazanin" w:cs="IRNazanin"/>
          <w:color w:val="111111"/>
          <w:sz w:val="28"/>
          <w:szCs w:val="28"/>
          <w:rtl w:val="true"/>
          <w:lang w:bidi="fa-IR"/>
        </w:rPr>
        <w:t>(</w:t>
      </w:r>
      <w:r>
        <w:rPr>
          <w:rFonts w:eastAsia="IRNazanin" w:cs="IRNazanin"/>
          <w:color w:val="111111"/>
          <w:sz w:val="28"/>
          <w:szCs w:val="28"/>
          <w:lang w:bidi="fa-IR"/>
        </w:rPr>
        <w:t>1172</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وسائل الشیعة إلی تحصیل مسائل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للشیخ محمّد بن الحسن بن علیّ محمّد بن الحسین،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العاملی</w:t>
      </w:r>
      <w:r>
        <w:rPr>
          <w:rFonts w:eastAsia="IRNazanin" w:cs="IRNazanin"/>
          <w:color w:val="111111"/>
          <w:sz w:val="28"/>
          <w:szCs w:val="28"/>
          <w:rtl w:val="true"/>
          <w:lang w:bidi="fa-IR"/>
        </w:rPr>
        <w:t>» (</w:t>
      </w:r>
      <w:r>
        <w:rPr>
          <w:rFonts w:eastAsia="IRNazanin" w:cs="IRNazanin"/>
          <w:color w:val="111111"/>
          <w:sz w:val="28"/>
          <w:szCs w:val="28"/>
          <w:lang w:bidi="fa-IR"/>
        </w:rPr>
        <w:t>1033</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البیت علیهم السلام لإحیاء التراث، قم، الطبعة الثانیة،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الوسیلة إلی نیل الفضیلة، لأبی جعفر عماد الدین محمّد بن علیّ الطوسی،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حمزة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أعلام القرن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آیة اللّه المرعشی النجفی، قم،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324" w:name="pg5448_41326"/>
    </w:p>
    <w:p>
      <w:pPr>
        <w:pStyle w:val="Heading2"/>
        <w:numPr>
          <w:ilvl w:val="1"/>
          <w:numId w:val="1"/>
        </w:numPr>
        <w:rPr/>
      </w:pPr>
      <w:bookmarkStart w:id="325" w:name="__RefHeading___Toc1920398_581953129"/>
      <w:bookmarkStart w:id="326" w:name="_Toc128"/>
      <w:bookmarkEnd w:id="324"/>
      <w:bookmarkEnd w:id="325"/>
      <w:r>
        <w:rPr>
          <w:rtl w:val="true"/>
        </w:rPr>
        <w:t>فهرس المواضیع</w:t>
      </w:r>
      <w:bookmarkEnd w:id="326"/>
    </w:p>
    <w:p>
      <w:pPr>
        <w:pStyle w:val="BookText"/>
        <w:rPr/>
      </w:pPr>
      <w:r>
        <w:rPr>
          <w:rFonts w:ascii="IRNazanin" w:hAnsi="IRNazanin" w:eastAsia="IRNazanin"/>
          <w:color w:val="111111"/>
          <w:sz w:val="28"/>
          <w:sz w:val="28"/>
          <w:szCs w:val="28"/>
          <w:rtl w:val="true"/>
          <w:lang w:bidi="fa-IR"/>
        </w:rPr>
        <w:t xml:space="preserve">بعض النکات المهمّة فی القاعدة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القاعدة وأنّها شرعیّة تأسیسیّة أو عقلائیّة امضائیّة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جریان القاعدة اجمالاً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تخرج القرعة عن کونها من القواعد بسبب التخصیصات الکثیرة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القرعة من الأمارات أو الاُصول؟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تشخیص معانی الألفاظ بالقرعة؟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هی عزیمة أو رخصته؟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هی مختصّة بما إذا کان الواقع معیّنا ویکون الاشتباه بحسب الظاهر، أو تجری فیما إذا کان الواقع أیضاً غیر معیّناً؟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تختصّ اجرائها بالإمام علیه السلام أم لا؟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بعض موارد جریان القاعدة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الخنثی المشکل من جهة جواز تغسیله بید الرجل أو المرئة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اجتمع میّت و جنب و محدث ویکون الماء کافیاً لأحدهم </w:t>
      </w:r>
      <w:r>
        <w:rPr>
          <w:rFonts w:eastAsia="IRNazanin" w:cs="IRNazanin"/>
          <w:color w:val="111111"/>
          <w:sz w:val="28"/>
          <w:szCs w:val="28"/>
          <w:lang w:bidi="fa-IR"/>
        </w:rPr>
        <w:t>11</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مسألة القبلة عند سید ابن طاوس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جریان القرعة فی الأحکام الشرعیّة عند بعض وعدم جریانها عند بعض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جریان القرعة عند التشاحّ فی الأذان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جریان القرعة فی ردّ مال المقامرة إلی صاحبها لو لم یکن معیّناً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جریان القرعة عند مزاحمة حقّ استمتاع الزوج والمستأجر للإرضاع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معنی القرعة لغة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أدلّة القرعة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الآیة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یونس لمن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یبعثون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المراد من الإباق بالنسبة إلی یونس علیه السلام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المنجی الحقیقی لیونس علیه السلام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توضیح الآیة لغة وشأناً وتأریخاً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تقریر الاستدلال بالآیة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الإشکالات الثلاثة علی الاستدلال بالآیة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هل یصحّ التمسک بالقرعة فیما کان نظیراً لمورد الآیة؟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هل القرعة فی مورد الآیة مختصّ بما إذا کان المجهول معیّناً واقعاً ومجهولاً ظاهراً؟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الروایات التی استدلّ فیها بالآیة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الآیة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کنت لدیهم إذ یلقون مریم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تقریر الاستدلال بالآیة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الروایة التی استدل فیها بالآیة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أفضلیّة الصدّیقة الطاهرة علی مریم بنت عمران علیهما السلام </w:t>
      </w:r>
      <w:r>
        <w:rPr>
          <w:rFonts w:eastAsia="IRNazanin" w:cs="IRNazanin"/>
          <w:color w:val="111111"/>
          <w:sz w:val="28"/>
          <w:szCs w:val="28"/>
          <w:lang w:bidi="fa-IR"/>
        </w:rPr>
        <w:t>30</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وهی ثلاثة أقسام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العامّة التی تدلّ علی القرعة بنحو العموم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محمّد بن حکیم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هل ورد فی هذه الروایات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مشکل أو 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التعبیر منحصر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عبارات الاصحاب المشتملة علی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مشکل أو مشتبه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توجیه اشتمال عبارات الاصحاب علی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مشکل أو 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کون هذا التعبیر فی الروایات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عاصم بن حمید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زرارة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سیابة و إبراهیم بن عمر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الروایة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ثعلبة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الروایة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عباس بن هلال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الروایة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منصور بن حازم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الروایة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فی دعائم الإسلام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الروایة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عبد الرحیم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الروایة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أبی بصیر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العامة بالنسبة إلی باب خاص، کالقضاء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داود بن سرحان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الحلبی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البصری </w:t>
      </w:r>
      <w:r>
        <w:rPr>
          <w:rFonts w:eastAsia="IRNazanin" w:cs="IRNazanin"/>
          <w:color w:val="111111"/>
          <w:sz w:val="28"/>
          <w:szCs w:val="28"/>
          <w:lang w:bidi="fa-IR"/>
        </w:rPr>
        <w:t>51</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الخاصّة، وهی تنقسم إلی عناوین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العنوان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تعارض الشهود فی أمرأة، وفی مقدار الودیعة، وفی الدابّة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العنوان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الوصیّة بعتق بعض الممالیک أو ثلثهم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العنوان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وقع العبد والحرّ والمشرک أو المسلم والیهودی والنصرانی علی امرأة فی طهر واحدٍ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العنوان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کان الولد مشتبهاً بین الحرّ والعبد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العنوان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ورد فی الغنم الموطوءة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فقه الروایة، وأنّ موردها الشبهة المحصورة أو غیر المحصورة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العنوان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الخنثی المشکل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العنوان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عتق المملوک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العنوان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مال أتی أمیر المؤمنین من إصفهان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العنوان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مساهمة رسول اللّه صلی الله علیه و آله قریشاً فی بناء البیت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العنوان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استعلام موسی علیه السلام النمّام بالقرعة بتعلیم من اللّه تعالی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العنوان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اقتراعه صلی الله علیه و آله بین أهل الصّفة للبعث إلی غزوة السلاسل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العنوان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فقه المنسوب إلی الرضا علیه السلام فی باب الإشهاد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العنوان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فی أن رجلاً من الأنصار أعتق ستّة عبید فی مرض موته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w:t>
      </w:r>
      <w:r>
        <w:rPr>
          <w:rFonts w:eastAsia="IRNazanin" w:cs="IRNazanin"/>
          <w:color w:val="111111"/>
          <w:sz w:val="28"/>
          <w:szCs w:val="28"/>
          <w:lang w:bidi="fa-IR"/>
        </w:rPr>
        <w:t>73</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الاجماع المنقول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وأما الاجماع المحصّل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العقلاء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معنی اختلال النظام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الدلیل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المتشرّعة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جریان القرعة ومواردها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کلام المحقق العراقی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افتراق العناوین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المشکل، الملتبس، المشتبه، المجهول والمعضل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عدم جریان أدلّة القرعة فی الشبهات الحکمیة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تقسیم الشبهات الموضوعیّة المقرونة بالعلم الاجمالی إلی حقوق اللّه وحقوق الناس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مانعیّة العلم الاجمالی عن جریان القرعة فی موارد حقوق اللّه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تشخیص موارد القرعة عن موارد التخییر وقاعدة العدل والإنصاف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کلام المحقق النائینی فی ذلک التشخیص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الملاحظات الواردة علی المحقق العراقی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کلام صاحب العناوین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اتّحاد العناوین الخمسة معنی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عمومیّة أدلّة القرعة وخروج الأصول عملیّة عنها تخصیصاً أو تخصصاً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کون القرعة آخر طریق لحلّ الاشکال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عدم جریان القرعة فی الشبهات الحکمیّة </w:t>
      </w:r>
      <w:r>
        <w:rPr>
          <w:rFonts w:eastAsia="IRNazanin" w:cs="IRNazanin"/>
          <w:color w:val="111111"/>
          <w:sz w:val="28"/>
          <w:szCs w:val="28"/>
          <w:lang w:bidi="fa-IR"/>
        </w:rPr>
        <w:t>89</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جریان القرعة فی الشبهات الموضوعیّة المستبطة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عدم جریان القرعة فی قسمین من الشبهات الموضوعیّة الصرفه وجریانها فی قسم واحد منها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الإیرادات والنقوص الواردة علی صاحب العناوین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ذکر موارد من الشبهات الحکمیّة التی حکموا بجریان القرعة فیها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فیما لو اجتمع میّت ومحدث وجنب ولم یکن الماء صالحاً إلاّ لأحدهم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 کان الشخص متیمّما عن الغسل والوضوء ثم وجد ماءً صالحاً لأحدهما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نذر شخص بأن یتصدّق بالمال الزکوی إذا بلغ حدّ النصاب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کلام السید الإمام الخمینی قدس سره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بطلان تضعیف عمومات القرعة بکثرة التخصیص، وکون القرعة مختصّة بباب القضاء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کلام السیّد المحقّق الداماد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الملاحظات الواردة علی السیّد الإمام الخمینی والسیّد الداماد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مختار المؤلّف وموافقته للمحقّق البجنوردی فی موارد إجراء القرعة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القرعة من الأمارات أو الاُصول؟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أدلّة أماریّة القرعة </w:t>
      </w:r>
      <w:r>
        <w:rPr>
          <w:rFonts w:eastAsia="Amiri" w:cs="Amiri" w:ascii="Amiri" w:hAnsi="Amiri"/>
          <w:color w:val="111111"/>
          <w:sz w:val="28"/>
          <w:szCs w:val="28"/>
          <w:lang w:bidi="ar-SA"/>
        </w:rPr>
        <w:t>107</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أدلّة کون القرعة من الأصول وردّها </w:t>
      </w:r>
      <w:r>
        <w:rPr>
          <w:rFonts w:eastAsia="IRNazanin" w:cs="IRNazanin"/>
          <w:color w:val="111111"/>
          <w:sz w:val="28"/>
          <w:szCs w:val="28"/>
          <w:lang w:bidi="fa-IR"/>
        </w:rPr>
        <w:t>109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عوالی اللئالی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وسائل الشیعة </w:t>
      </w:r>
      <w:r>
        <w:rPr>
          <w:rFonts w:eastAsia="IRNazanin" w:cs="IRNazanin"/>
          <w:b w:val="false"/>
          <w:bCs w:val="false"/>
          <w:i w:val="false"/>
          <w:iCs w:val="false"/>
          <w:color w:val="333333"/>
          <w:sz w:val="20"/>
          <w:szCs w:val="20"/>
        </w:rPr>
        <w:t>257:27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وأحکام الدعوی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ولکن لم نجد نفس هذا التعبیر کما صرّح به المؤلّف أیضاً فی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نوادر ابن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وعنها وسائل الشیعة </w:t>
      </w:r>
      <w:r>
        <w:rPr>
          <w:rFonts w:eastAsia="IRNazanin" w:cs="IRNazanin"/>
          <w:b w:val="false"/>
          <w:bCs w:val="false"/>
          <w:i w:val="false"/>
          <w:iCs w:val="false"/>
          <w:color w:val="333333"/>
          <w:sz w:val="20"/>
          <w:szCs w:val="20"/>
        </w:rPr>
        <w:t>369:15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النفس وما یناسبه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الشیخ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386:3</w:t>
      </w:r>
      <w:r>
        <w:rPr>
          <w:rFonts w:ascii="IRNazanin" w:hAnsi="IRNazanin" w:eastAsia="IRNazanin"/>
          <w:b w:val="false"/>
          <w:b w:val="false"/>
          <w:bCs w:val="false"/>
          <w:i w:val="false"/>
          <w:i w:val="false"/>
          <w:iCs w:val="false"/>
          <w:color w:val="333333"/>
          <w:sz w:val="20"/>
          <w:sz w:val="20"/>
          <w:szCs w:val="20"/>
          <w:rtl w:val="true"/>
        </w:rPr>
        <w:t xml:space="preserve">، والتنقیح فی شرح العروة الوثقی، موسوعة‌الإمام الخوئی </w:t>
      </w:r>
      <w:r>
        <w:rPr>
          <w:rFonts w:eastAsia="IRNazanin" w:cs="IRNazanin"/>
          <w:b w:val="false"/>
          <w:bCs w:val="false"/>
          <w:i w:val="false"/>
          <w:iCs w:val="false"/>
          <w:color w:val="333333"/>
          <w:sz w:val="20"/>
          <w:szCs w:val="20"/>
        </w:rPr>
        <w:t>359:8</w:t>
      </w:r>
      <w:r>
        <w:rPr>
          <w:rFonts w:ascii="IRNazanin" w:hAnsi="IRNazanin" w:eastAsia="IRNazanin"/>
          <w:b w:val="false"/>
          <w:b w:val="false"/>
          <w:bCs w:val="false"/>
          <w:i w:val="false"/>
          <w:i w:val="false"/>
          <w:iCs w:val="false"/>
          <w:color w:val="333333"/>
          <w:sz w:val="20"/>
          <w:sz w:val="20"/>
          <w:szCs w:val="20"/>
          <w:rtl w:val="true"/>
        </w:rPr>
        <w:t xml:space="preserve">، کما سیأتی فی الصفحة الآتیته، ونهایة الأفکار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وأجود التقریرات </w:t>
      </w:r>
      <w:r>
        <w:rPr>
          <w:rFonts w:eastAsia="IRNazanin" w:cs="IRNazanin"/>
          <w:b w:val="false"/>
          <w:bCs w:val="false"/>
          <w:i w:val="false"/>
          <w:iCs w:val="false"/>
          <w:color w:val="333333"/>
          <w:sz w:val="20"/>
          <w:szCs w:val="20"/>
        </w:rPr>
        <w:t>261:4</w:t>
      </w:r>
      <w:r>
        <w:rPr>
          <w:rFonts w:ascii="IRNazanin" w:hAnsi="IRNazanin" w:eastAsia="IRNazanin"/>
          <w:b w:val="false"/>
          <w:b w:val="false"/>
          <w:bCs w:val="false"/>
          <w:i w:val="false"/>
          <w:i w:val="false"/>
          <w:iCs w:val="false"/>
          <w:color w:val="333333"/>
          <w:sz w:val="20"/>
          <w:sz w:val="20"/>
          <w:szCs w:val="20"/>
          <w:rtl w:val="true"/>
        </w:rPr>
        <w:t>، والاستصحاب للإمام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وحکی عنه أیضاً فی مستمسک‌العروة الوثقی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ولم نعثر علی کلام منه قدس سره فی المقام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الوثقی، موسوعة الإمام الخوئی </w:t>
      </w:r>
      <w:r>
        <w:rPr>
          <w:rFonts w:eastAsia="IRNazanin" w:cs="IRNazanin"/>
          <w:b w:val="false"/>
          <w:bCs w:val="false"/>
          <w:i w:val="false"/>
          <w:iCs w:val="false"/>
          <w:color w:val="333333"/>
          <w:sz w:val="20"/>
          <w:szCs w:val="20"/>
        </w:rPr>
        <w:t>359:8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485:11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الوثقی، موسوعة الإمام الخوئی </w:t>
      </w:r>
      <w:r>
        <w:rPr>
          <w:rFonts w:eastAsia="IRNazanin" w:cs="IRNazanin"/>
          <w:b w:val="false"/>
          <w:bCs w:val="false"/>
          <w:i w:val="false"/>
          <w:iCs w:val="false"/>
          <w:color w:val="333333"/>
          <w:sz w:val="20"/>
          <w:szCs w:val="20"/>
        </w:rPr>
        <w:t>108:23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فی شرح إرشاد الأذهان </w:t>
      </w:r>
      <w:r>
        <w:rPr>
          <w:rFonts w:eastAsia="IRNazanin" w:cs="IRNazanin"/>
          <w:b w:val="false"/>
          <w:bCs w:val="false"/>
          <w:i w:val="false"/>
          <w:iCs w:val="false"/>
          <w:color w:val="333333"/>
          <w:sz w:val="20"/>
          <w:szCs w:val="20"/>
        </w:rPr>
        <w:t>352:1</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484:4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444:5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فی شرح إرشاد الأذهان </w:t>
      </w:r>
      <w:r>
        <w:rPr>
          <w:rFonts w:eastAsia="IRNazanin" w:cs="IRNazanin"/>
          <w:b w:val="false"/>
          <w:bCs w:val="false"/>
          <w:i w:val="false"/>
          <w:iCs w:val="false"/>
          <w:color w:val="333333"/>
          <w:sz w:val="20"/>
          <w:szCs w:val="20"/>
        </w:rPr>
        <w:t>526:2</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جواهرالکلام </w:t>
      </w:r>
      <w:r>
        <w:rPr>
          <w:rFonts w:eastAsia="IRNazanin" w:cs="IRNazanin"/>
          <w:b w:val="false"/>
          <w:bCs w:val="false"/>
          <w:i w:val="false"/>
          <w:iCs w:val="false"/>
          <w:color w:val="333333"/>
          <w:sz w:val="20"/>
          <w:szCs w:val="20"/>
        </w:rPr>
        <w:t>655:7</w:t>
      </w:r>
      <w:r>
        <w:rPr>
          <w:rFonts w:ascii="IRNazanin" w:hAnsi="IRNazanin" w:eastAsia="IRNazanin"/>
          <w:b w:val="false"/>
          <w:b w:val="false"/>
          <w:bCs w:val="false"/>
          <w:i w:val="false"/>
          <w:i w:val="false"/>
          <w:iCs w:val="false"/>
          <w:color w:val="333333"/>
          <w:sz w:val="20"/>
          <w:sz w:val="20"/>
          <w:szCs w:val="20"/>
          <w:rtl w:val="true"/>
        </w:rPr>
        <w:t xml:space="preserve">، مصباح الفقیه </w:t>
      </w:r>
      <w:r>
        <w:rPr>
          <w:rFonts w:eastAsia="IRNazanin" w:cs="IRNazanin"/>
          <w:b w:val="false"/>
          <w:bCs w:val="false"/>
          <w:i w:val="false"/>
          <w:iCs w:val="false"/>
          <w:color w:val="333333"/>
          <w:sz w:val="20"/>
          <w:szCs w:val="20"/>
        </w:rPr>
        <w:t>78:10</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عنه فی مختلف الشیعة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وذکری الشیعة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المغنی لابن قدامة </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215:3</w:t>
      </w:r>
      <w:r>
        <w:rPr>
          <w:rFonts w:ascii="IRNazanin" w:hAnsi="IRNazanin" w:eastAsia="IRNazanin"/>
          <w:b w:val="false"/>
          <w:b w:val="false"/>
          <w:bCs w:val="false"/>
          <w:i w:val="false"/>
          <w:i w:val="false"/>
          <w:iCs w:val="false"/>
          <w:color w:val="333333"/>
          <w:sz w:val="20"/>
          <w:sz w:val="20"/>
          <w:szCs w:val="20"/>
          <w:rtl w:val="true"/>
        </w:rPr>
        <w:t>، وتمهید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 من أخطار الأسفار والأزمان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662:7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Pr>
        <w:t>452:6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الفاضل، تفصیل الشریعة فی شرح تحریر الوسیلة، الصلاة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الکتاب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265:1</w:t>
      </w:r>
      <w:r>
        <w:rPr>
          <w:rFonts w:ascii="IRNazanin" w:hAnsi="IRNazanin" w:eastAsia="IRNazanin"/>
          <w:b w:val="false"/>
          <w:b w:val="false"/>
          <w:bCs w:val="false"/>
          <w:i w:val="false"/>
          <w:i w:val="false"/>
          <w:iCs w:val="false"/>
          <w:color w:val="333333"/>
          <w:sz w:val="20"/>
          <w:sz w:val="20"/>
          <w:szCs w:val="20"/>
          <w:rtl w:val="true"/>
        </w:rPr>
        <w:t xml:space="preserve">، ارشاد الأذهان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183:23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تقدم فی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وفی مسالک الأفهام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جواهرالکلام </w:t>
      </w:r>
      <w:r>
        <w:rPr>
          <w:rFonts w:eastAsia="IRNazanin" w:cs="IRNazanin"/>
          <w:b w:val="false"/>
          <w:bCs w:val="false"/>
          <w:i w:val="false"/>
          <w:iCs w:val="false"/>
          <w:color w:val="333333"/>
          <w:sz w:val="20"/>
          <w:szCs w:val="20"/>
        </w:rPr>
        <w:t>542:28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بلاخلاف اجده فیه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550:28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الفقه، کتاب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386:3</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اجود التقریرات </w:t>
      </w:r>
      <w:r>
        <w:rPr>
          <w:rFonts w:eastAsia="IRNazanin" w:cs="IRNazanin"/>
          <w:b w:val="false"/>
          <w:bCs w:val="false"/>
          <w:i w:val="false"/>
          <w:iCs w:val="false"/>
          <w:color w:val="333333"/>
          <w:sz w:val="20"/>
          <w:szCs w:val="20"/>
        </w:rPr>
        <w:t>261:4</w:t>
      </w:r>
      <w:r>
        <w:rPr>
          <w:rFonts w:ascii="IRNazanin" w:hAnsi="IRNazanin" w:eastAsia="IRNazanin"/>
          <w:b w:val="false"/>
          <w:b w:val="false"/>
          <w:bCs w:val="false"/>
          <w:i w:val="false"/>
          <w:i w:val="false"/>
          <w:iCs w:val="false"/>
          <w:color w:val="333333"/>
          <w:sz w:val="20"/>
          <w:sz w:val="20"/>
          <w:szCs w:val="20"/>
          <w:rtl w:val="true"/>
        </w:rPr>
        <w:t>، الاستصحاب للإمام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للإمام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فی شرح تحریر الوسیلة، کتاب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1468:3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w:t>
      </w:r>
      <w:r>
        <w:rPr>
          <w:rFonts w:eastAsia="IRNazanin" w:cs="IRNazanin"/>
          <w:b w:val="false"/>
          <w:bCs w:val="false"/>
          <w:i w:val="false"/>
          <w:iCs w:val="false"/>
          <w:color w:val="333333"/>
          <w:sz w:val="20"/>
          <w:szCs w:val="20"/>
        </w:rPr>
        <w:t>238:5</w:t>
      </w:r>
      <w:r>
        <w:rPr>
          <w:rFonts w:ascii="IRNazanin" w:hAnsi="IRNazanin" w:eastAsia="IRNazanin"/>
          <w:b w:val="false"/>
          <w:b w:val="false"/>
          <w:bCs w:val="false"/>
          <w:i w:val="false"/>
          <w:i w:val="false"/>
          <w:iCs w:val="false"/>
          <w:color w:val="333333"/>
          <w:sz w:val="20"/>
          <w:sz w:val="20"/>
          <w:szCs w:val="20"/>
          <w:rtl w:val="true"/>
        </w:rPr>
        <w:t xml:space="preserve">، القاموس المحیط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974:2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فیما یأتی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مدعی الشهرة ولکن راجع فرائد الاُصول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حاشیة فرائد الاُصول‌للیزدی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تسدید القواعد فی حاشیة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درر الفرائد للآخوند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نهایة الدرایة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بعنوان الحکمة فی تفسیر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 عن تأویل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29603</w:t>
      </w:r>
      <w:r>
        <w:rPr>
          <w:rFonts w:ascii="IRNazanin" w:hAnsi="IRNazanin" w:eastAsia="IRNazanin"/>
          <w:b w:val="false"/>
          <w:b w:val="false"/>
          <w:bCs w:val="false"/>
          <w:i w:val="false"/>
          <w:i w:val="false"/>
          <w:iCs w:val="false"/>
          <w:color w:val="333333"/>
          <w:sz w:val="20"/>
          <w:sz w:val="20"/>
          <w:szCs w:val="20"/>
          <w:rtl w:val="true"/>
        </w:rPr>
        <w:t>، نعم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الْعَمَلُ الصّالِحُ یَرْفَعُهُ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الفاطر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المحیط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361:3</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الإذلاق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الإبطال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فی مجمع البحرین </w:t>
      </w:r>
      <w:r>
        <w:rPr>
          <w:rFonts w:eastAsia="IRNazanin" w:cs="IRNazanin"/>
          <w:b w:val="false"/>
          <w:bCs w:val="false"/>
          <w:i w:val="false"/>
          <w:iCs w:val="false"/>
          <w:color w:val="333333"/>
          <w:sz w:val="20"/>
          <w:szCs w:val="20"/>
        </w:rPr>
        <w:t>579:1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579:1</w:t>
      </w:r>
      <w:r>
        <w:rPr>
          <w:rFonts w:ascii="IRNazanin" w:hAnsi="IRNazanin" w:eastAsia="IRNazanin"/>
          <w:b w:val="false"/>
          <w:b w:val="false"/>
          <w:bCs w:val="false"/>
          <w:i w:val="false"/>
          <w:i w:val="false"/>
          <w:iCs w:val="false"/>
          <w:color w:val="333333"/>
          <w:sz w:val="20"/>
          <w:sz w:val="20"/>
          <w:szCs w:val="20"/>
          <w:rtl w:val="true"/>
        </w:rPr>
        <w:t xml:space="preserve">، تفسیر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29598</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Pr>
        <w:t>380:14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وحکی عنه فی الجامع لأحکام القرآن، للقرطبی </w:t>
      </w:r>
      <w:r>
        <w:rPr>
          <w:rFonts w:eastAsia="IRNazanin" w:cs="IRNazanin"/>
          <w:b w:val="false"/>
          <w:bCs w:val="false"/>
          <w:i w:val="false"/>
          <w:iCs w:val="false"/>
          <w:color w:val="333333"/>
          <w:sz w:val="20"/>
          <w:szCs w:val="20"/>
        </w:rPr>
        <w:t>124:15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وراء الفقه </w:t>
      </w:r>
      <w:r>
        <w:rPr>
          <w:rFonts w:eastAsia="IRNazanin" w:cs="IRNazanin"/>
          <w:b w:val="false"/>
          <w:bCs w:val="false"/>
          <w:i w:val="false"/>
          <w:iCs w:val="false"/>
          <w:color w:val="333333"/>
          <w:sz w:val="20"/>
          <w:szCs w:val="20"/>
        </w:rPr>
        <w:t>223:10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357:9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 وعنهما وسائل الشیعة </w:t>
      </w:r>
      <w:r>
        <w:rPr>
          <w:rFonts w:eastAsia="IRNazanin" w:cs="IRNazanin"/>
          <w:b w:val="false"/>
          <w:bCs w:val="false"/>
          <w:i w:val="false"/>
          <w:iCs w:val="false"/>
          <w:color w:val="333333"/>
          <w:sz w:val="20"/>
          <w:szCs w:val="20"/>
        </w:rPr>
        <w:t>293:26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کتاب الفرائض و المواریث، أبواب میراث الخنثی وما أشبهه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xml:space="preserve">، وعنه وسائل الشیعة </w:t>
      </w:r>
      <w:r>
        <w:rPr>
          <w:rFonts w:eastAsia="IRNazanin" w:cs="IRNazanin"/>
          <w:b w:val="false"/>
          <w:bCs w:val="false"/>
          <w:i w:val="false"/>
          <w:iCs w:val="false"/>
          <w:color w:val="333333"/>
          <w:sz w:val="20"/>
          <w:szCs w:val="20"/>
        </w:rPr>
        <w:t>294:26</w:t>
      </w:r>
      <w:r>
        <w:rPr>
          <w:rFonts w:ascii="IRNazanin" w:hAnsi="IRNazanin" w:eastAsia="IRNazanin"/>
          <w:b w:val="false"/>
          <w:b w:val="false"/>
          <w:bCs w:val="false"/>
          <w:i w:val="false"/>
          <w:i w:val="false"/>
          <w:iCs w:val="false"/>
          <w:color w:val="333333"/>
          <w:sz w:val="20"/>
          <w:sz w:val="20"/>
          <w:szCs w:val="20"/>
          <w:rtl w:val="true"/>
        </w:rPr>
        <w:t xml:space="preserve">، کتاب الفرائض والمواریث، أبواب میراث الخنثی وما أشبهه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التفسیر وعجائب التأویل </w:t>
      </w:r>
      <w:r>
        <w:rPr>
          <w:rFonts w:eastAsia="IRNazanin" w:cs="IRNazanin"/>
          <w:b w:val="false"/>
          <w:bCs w:val="false"/>
          <w:i w:val="false"/>
          <w:iCs w:val="false"/>
          <w:color w:val="333333"/>
          <w:sz w:val="20"/>
          <w:szCs w:val="20"/>
        </w:rPr>
        <w:t>255:1</w:t>
      </w:r>
      <w:r>
        <w:rPr>
          <w:rFonts w:ascii="IRNazanin" w:hAnsi="IRNazanin" w:eastAsia="IRNazanin"/>
          <w:b w:val="false"/>
          <w:b w:val="false"/>
          <w:bCs w:val="false"/>
          <w:i w:val="false"/>
          <w:i w:val="false"/>
          <w:iCs w:val="false"/>
          <w:color w:val="333333"/>
          <w:sz w:val="20"/>
          <w:sz w:val="20"/>
          <w:szCs w:val="20"/>
          <w:rtl w:val="true"/>
        </w:rPr>
        <w:t xml:space="preserve">، تفسیر مقتنیات الدرر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للمکارم الشیرازی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وعنهما وسائل الشیعة </w:t>
      </w:r>
      <w:r>
        <w:rPr>
          <w:rFonts w:eastAsia="IRNazanin" w:cs="IRNazanin"/>
          <w:b w:val="false"/>
          <w:bCs w:val="false"/>
          <w:i w:val="false"/>
          <w:iCs w:val="false"/>
          <w:color w:val="333333"/>
          <w:sz w:val="20"/>
          <w:szCs w:val="20"/>
        </w:rPr>
        <w:t>260:27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وأحکام الدعوی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4740</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تفسیر العیّاشی </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 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w:t>
      </w:r>
      <w:r>
        <w:rPr>
          <w:rFonts w:eastAsia="IRNazanin" w:cs="IRNazanin"/>
          <w:b w:val="false"/>
          <w:bCs w:val="false"/>
          <w:i w:val="false"/>
          <w:iCs w:val="false"/>
          <w:color w:val="333333"/>
          <w:sz w:val="20"/>
          <w:szCs w:val="20"/>
        </w:rPr>
        <w:t>618:1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1679</w:t>
      </w:r>
      <w:r>
        <w:rPr>
          <w:rFonts w:ascii="IRNazanin" w:hAnsi="IRNazanin" w:eastAsia="IRNazanin"/>
          <w:b w:val="false"/>
          <w:b w:val="false"/>
          <w:bCs w:val="false"/>
          <w:i w:val="false"/>
          <w:i w:val="false"/>
          <w:iCs w:val="false"/>
          <w:color w:val="333333"/>
          <w:sz w:val="20"/>
          <w:sz w:val="20"/>
          <w:szCs w:val="20"/>
          <w:rtl w:val="true"/>
        </w:rPr>
        <w:t xml:space="preserve">، المیزان فی تفسیرالقرآن </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tl w:val="true"/>
        </w:rPr>
        <w:t>، والظاهر أنّه قول أبی عبداللّه علیه السلام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للإمام الخمینی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وعنهما وسائل الشیعة </w:t>
      </w:r>
      <w:r>
        <w:rPr>
          <w:rFonts w:eastAsia="IRNazanin" w:cs="IRNazanin"/>
          <w:b w:val="false"/>
          <w:bCs w:val="false"/>
          <w:i w:val="false"/>
          <w:iCs w:val="false"/>
          <w:color w:val="333333"/>
          <w:sz w:val="20"/>
          <w:szCs w:val="20"/>
        </w:rPr>
        <w:t>259:27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وأحکام الدعوی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262:27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وأحکام الدعوی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عن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للإمام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580:2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المؤتلف من المختلف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445:15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376:17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581:3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352:9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الخاصّة، کما فی السرائر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ناسباً إلی الأصحاب، وذکری الشیعة </w:t>
      </w:r>
      <w:r>
        <w:rPr>
          <w:rFonts w:eastAsia="IRNazanin" w:cs="IRNazanin"/>
          <w:b w:val="false"/>
          <w:bCs w:val="false"/>
          <w:i w:val="false"/>
          <w:iCs w:val="false"/>
          <w:color w:val="333333"/>
          <w:sz w:val="20"/>
          <w:szCs w:val="20"/>
        </w:rPr>
        <w:t>402:1</w:t>
      </w:r>
      <w:r>
        <w:rPr>
          <w:rFonts w:ascii="IRNazanin" w:hAnsi="IRNazanin" w:eastAsia="IRNazanin"/>
          <w:b w:val="false"/>
          <w:b w:val="false"/>
          <w:bCs w:val="false"/>
          <w:i w:val="false"/>
          <w:i w:val="false"/>
          <w:iCs w:val="false"/>
          <w:color w:val="333333"/>
          <w:sz w:val="20"/>
          <w:sz w:val="20"/>
          <w:szCs w:val="20"/>
          <w:rtl w:val="true"/>
        </w:rPr>
        <w:t>، وتحریر المجلّد ناسباً إلی الأصحاب والاستصحاب للإمام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ناسباً إلی مشهور المتأخرین، والقواعد الفقهیه للوالد المعظم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ناسباً إلی العقلاء، وراجع ما استخرجنا منهم فی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وعنهما وسائل الشیعة </w:t>
      </w:r>
      <w:r>
        <w:rPr>
          <w:rFonts w:eastAsia="IRNazanin" w:cs="IRNazanin"/>
          <w:b w:val="false"/>
          <w:bCs w:val="false"/>
          <w:i w:val="false"/>
          <w:iCs w:val="false"/>
          <w:color w:val="333333"/>
          <w:sz w:val="20"/>
          <w:szCs w:val="20"/>
        </w:rPr>
        <w:t>258:27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وأحکام الدعوی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للإمام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المنیح من سهام المیسر ممّا لا نصیب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منح،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والمبیح بالباء بمعنی‌المطلق؛ أی غیر منسوب إلی أحد المقروعین، منه مدّ ظله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وعنه وسائل الشیعة </w:t>
      </w:r>
      <w:r>
        <w:rPr>
          <w:rFonts w:eastAsia="IRNazanin" w:cs="IRNazanin"/>
          <w:b w:val="false"/>
          <w:bCs w:val="false"/>
          <w:i w:val="false"/>
          <w:iCs w:val="false"/>
          <w:color w:val="333333"/>
          <w:sz w:val="20"/>
          <w:szCs w:val="20"/>
        </w:rPr>
        <w:t>257:27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وأحکام الدعوی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بدایة المجتهد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والمبسوط للسرخی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155:12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42:17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36:17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112:22</w:t>
      </w:r>
      <w:r>
        <w:rPr>
          <w:rFonts w:ascii="IRNazanin" w:hAnsi="IRNazanin" w:eastAsia="IRNazanin"/>
          <w:b w:val="false"/>
          <w:b w:val="false"/>
          <w:bCs w:val="false"/>
          <w:i w:val="false"/>
          <w:i w:val="false"/>
          <w:iCs w:val="false"/>
          <w:color w:val="333333"/>
          <w:sz w:val="20"/>
          <w:sz w:val="20"/>
          <w:szCs w:val="20"/>
          <w:rtl w:val="true"/>
        </w:rPr>
        <w:t xml:space="preserve">، و بدائع الصنائع </w:t>
      </w:r>
      <w:r>
        <w:rPr>
          <w:rFonts w:eastAsia="IRNazanin" w:cs="IRNazanin"/>
          <w:b w:val="false"/>
          <w:bCs w:val="false"/>
          <w:i w:val="false"/>
          <w:iCs w:val="false"/>
          <w:color w:val="333333"/>
          <w:sz w:val="20"/>
          <w:szCs w:val="20"/>
        </w:rPr>
        <w:t>393:5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والمحلّی بالآثار </w:t>
      </w:r>
      <w:r>
        <w:rPr>
          <w:rFonts w:eastAsia="IRNazanin" w:cs="IRNazanin"/>
          <w:b w:val="false"/>
          <w:bCs w:val="false"/>
          <w:i w:val="false"/>
          <w:iCs w:val="false"/>
          <w:color w:val="333333"/>
          <w:sz w:val="20"/>
          <w:szCs w:val="20"/>
        </w:rPr>
        <w:t>394:8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والفقه علی المذاهب الأربعة </w:t>
      </w:r>
      <w:r>
        <w:rPr>
          <w:rFonts w:eastAsia="IRNazanin" w:cs="IRNazanin"/>
          <w:b w:val="false"/>
          <w:bCs w:val="false"/>
          <w:i w:val="false"/>
          <w:iCs w:val="false"/>
          <w:color w:val="333333"/>
          <w:sz w:val="20"/>
          <w:szCs w:val="20"/>
        </w:rPr>
        <w:t>248:4</w:t>
      </w:r>
      <w:r>
        <w:rPr>
          <w:rFonts w:ascii="IRNazanin" w:hAnsi="IRNazanin" w:eastAsia="IRNazanin"/>
          <w:b w:val="false"/>
          <w:b w:val="false"/>
          <w:bCs w:val="false"/>
          <w:i w:val="false"/>
          <w:i w:val="false"/>
          <w:iCs w:val="false"/>
          <w:color w:val="333333"/>
          <w:sz w:val="20"/>
          <w:sz w:val="20"/>
          <w:szCs w:val="20"/>
          <w:rtl w:val="true"/>
        </w:rPr>
        <w:t xml:space="preserve">، ونیل الأوطار </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 xml:space="preserve">، والمغنی لإبن قدامة </w:t>
      </w:r>
      <w:r>
        <w:rPr>
          <w:rFonts w:eastAsia="IRNazanin" w:cs="IRNazanin"/>
          <w:b w:val="false"/>
          <w:bCs w:val="false"/>
          <w:i w:val="false"/>
          <w:iCs w:val="false"/>
          <w:color w:val="333333"/>
          <w:sz w:val="20"/>
          <w:szCs w:val="20"/>
        </w:rPr>
        <w:t>502:11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503:11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المهذّب فی الفقه الإمام الشافعی </w:t>
      </w:r>
      <w:r>
        <w:rPr>
          <w:rFonts w:eastAsia="IRNazanin" w:cs="IRNazanin"/>
          <w:b w:val="false"/>
          <w:bCs w:val="false"/>
          <w:i w:val="false"/>
          <w:iCs w:val="false"/>
          <w:color w:val="333333"/>
          <w:sz w:val="20"/>
          <w:szCs w:val="20"/>
        </w:rPr>
        <w:t>410:3</w:t>
      </w:r>
      <w:r>
        <w:rPr>
          <w:rFonts w:ascii="IRNazanin" w:hAnsi="IRNazanin" w:eastAsia="IRNazanin"/>
          <w:b w:val="false"/>
          <w:b w:val="false"/>
          <w:bCs w:val="false"/>
          <w:i w:val="false"/>
          <w:i w:val="false"/>
          <w:iCs w:val="false"/>
          <w:color w:val="333333"/>
          <w:sz w:val="20"/>
          <w:sz w:val="20"/>
          <w:szCs w:val="20"/>
          <w:rtl w:val="true"/>
        </w:rPr>
        <w:t>، القواعد فی الفقه الإسلامی لإبن رجب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قائل بعدم حجّیة القرعة مطلقا من العلماء الخاصّة والعامّة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وعنه وسائل الشیعة </w:t>
      </w:r>
      <w:r>
        <w:rPr>
          <w:rFonts w:eastAsia="IRNazanin" w:cs="IRNazanin"/>
          <w:b w:val="false"/>
          <w:bCs w:val="false"/>
          <w:i w:val="false"/>
          <w:iCs w:val="false"/>
          <w:color w:val="333333"/>
          <w:sz w:val="20"/>
          <w:szCs w:val="20"/>
        </w:rPr>
        <w:t>257:27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وأحکام الدعوی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وعنها وسائل الشیعة </w:t>
      </w:r>
      <w:r>
        <w:rPr>
          <w:rFonts w:eastAsia="IRNazanin" w:cs="IRNazanin"/>
          <w:b w:val="false"/>
          <w:bCs w:val="false"/>
          <w:i w:val="false"/>
          <w:iCs w:val="false"/>
          <w:color w:val="333333"/>
          <w:sz w:val="20"/>
          <w:szCs w:val="20"/>
        </w:rPr>
        <w:t>375:3</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التیمم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وعنهما وسائل الشیعة </w:t>
      </w:r>
      <w:r>
        <w:rPr>
          <w:rFonts w:eastAsia="IRNazanin" w:cs="IRNazanin"/>
          <w:b w:val="false"/>
          <w:bCs w:val="false"/>
          <w:i w:val="false"/>
          <w:iCs w:val="false"/>
          <w:color w:val="333333"/>
          <w:sz w:val="20"/>
          <w:szCs w:val="20"/>
        </w:rPr>
        <w:t>376:3</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التیمم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وعنه وسائل الشیعة </w:t>
      </w:r>
      <w:r>
        <w:rPr>
          <w:rFonts w:eastAsia="IRNazanin" w:cs="IRNazanin"/>
          <w:b w:val="false"/>
          <w:bCs w:val="false"/>
          <w:i w:val="false"/>
          <w:iCs w:val="false"/>
          <w:color w:val="333333"/>
          <w:sz w:val="20"/>
          <w:szCs w:val="20"/>
        </w:rPr>
        <w:t>263:27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وأحکام الدعوی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w:t>
      </w:r>
      <w:r>
        <w:rPr>
          <w:rFonts w:eastAsia="IRNazanin" w:cs="IRNazanin"/>
          <w:b w:val="false"/>
          <w:bCs w:val="false"/>
          <w:i w:val="false"/>
          <w:iCs w:val="false"/>
          <w:color w:val="333333"/>
          <w:sz w:val="20"/>
          <w:szCs w:val="20"/>
        </w:rPr>
        <w:t>70:10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357:9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 وعنهما وسائل الشیعة </w:t>
      </w:r>
      <w:r>
        <w:rPr>
          <w:rFonts w:eastAsia="IRNazanin" w:cs="IRNazanin"/>
          <w:b w:val="false"/>
          <w:bCs w:val="false"/>
          <w:i w:val="false"/>
          <w:iCs w:val="false"/>
          <w:color w:val="333333"/>
          <w:sz w:val="20"/>
          <w:szCs w:val="20"/>
        </w:rPr>
        <w:t>293:26</w:t>
      </w:r>
      <w:r>
        <w:rPr>
          <w:rFonts w:ascii="IRNazanin" w:hAnsi="IRNazanin" w:eastAsia="IRNazanin"/>
          <w:b w:val="false"/>
          <w:b w:val="false"/>
          <w:bCs w:val="false"/>
          <w:i w:val="false"/>
          <w:i w:val="false"/>
          <w:iCs w:val="false"/>
          <w:color w:val="333333"/>
          <w:sz w:val="20"/>
          <w:sz w:val="20"/>
          <w:szCs w:val="20"/>
          <w:rtl w:val="true"/>
        </w:rPr>
        <w:t xml:space="preserve">، کتاب الفرائض والمواریث، أبواب میراث الخنثی وما أشبهه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وعنهما وسائل الشیعة </w:t>
      </w:r>
      <w:r>
        <w:rPr>
          <w:rFonts w:eastAsia="IRNazanin" w:cs="IRNazanin"/>
          <w:b w:val="false"/>
          <w:bCs w:val="false"/>
          <w:i w:val="false"/>
          <w:iCs w:val="false"/>
          <w:color w:val="333333"/>
          <w:sz w:val="20"/>
          <w:szCs w:val="20"/>
        </w:rPr>
        <w:t>294:26</w:t>
      </w:r>
      <w:r>
        <w:rPr>
          <w:rFonts w:ascii="IRNazanin" w:hAnsi="IRNazanin" w:eastAsia="IRNazanin"/>
          <w:b w:val="false"/>
          <w:b w:val="false"/>
          <w:bCs w:val="false"/>
          <w:i w:val="false"/>
          <w:i w:val="false"/>
          <w:iCs w:val="false"/>
          <w:color w:val="333333"/>
          <w:sz w:val="20"/>
          <w:sz w:val="20"/>
          <w:szCs w:val="20"/>
          <w:rtl w:val="true"/>
        </w:rPr>
        <w:t xml:space="preserve">، کتاب الفرائض والمواریث، أبواب میراث الخنثی وما اشبهه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xml:space="preserve">، وعنه وسائل الشیعة </w:t>
      </w:r>
      <w:r>
        <w:rPr>
          <w:rFonts w:eastAsia="IRNazanin" w:cs="IRNazanin"/>
          <w:b w:val="false"/>
          <w:bCs w:val="false"/>
          <w:i w:val="false"/>
          <w:iCs w:val="false"/>
          <w:color w:val="333333"/>
          <w:sz w:val="20"/>
          <w:szCs w:val="20"/>
        </w:rPr>
        <w:t>312:26</w:t>
      </w:r>
      <w:r>
        <w:rPr>
          <w:rFonts w:ascii="IRNazanin" w:hAnsi="IRNazanin" w:eastAsia="IRNazanin"/>
          <w:b w:val="false"/>
          <w:b w:val="false"/>
          <w:bCs w:val="false"/>
          <w:i w:val="false"/>
          <w:i w:val="false"/>
          <w:iCs w:val="false"/>
          <w:color w:val="333333"/>
          <w:sz w:val="20"/>
          <w:sz w:val="20"/>
          <w:szCs w:val="20"/>
          <w:rtl w:val="true"/>
        </w:rPr>
        <w:t xml:space="preserve">، کتاب الفرائض والمواریث، أبواب میراث الغرقی والمهدوم علیهم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قوف</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الإستصحاب للإمام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1864</w:t>
      </w:r>
      <w:r>
        <w:rPr>
          <w:rFonts w:ascii="IRNazanin" w:hAnsi="IRNazanin" w:eastAsia="IRNazanin"/>
          <w:b w:val="false"/>
          <w:b w:val="false"/>
          <w:bCs w:val="false"/>
          <w:i w:val="false"/>
          <w:i w:val="false"/>
          <w:iCs w:val="false"/>
          <w:color w:val="333333"/>
          <w:sz w:val="20"/>
          <w:sz w:val="20"/>
          <w:szCs w:val="20"/>
          <w:rtl w:val="true"/>
        </w:rPr>
        <w:t xml:space="preserve">، وعنه مستدرک الوسائل </w:t>
      </w:r>
      <w:r>
        <w:rPr>
          <w:rFonts w:eastAsia="IRNazanin" w:cs="IRNazanin"/>
          <w:b w:val="false"/>
          <w:bCs w:val="false"/>
          <w:i w:val="false"/>
          <w:iCs w:val="false"/>
          <w:color w:val="333333"/>
          <w:sz w:val="20"/>
          <w:szCs w:val="20"/>
        </w:rPr>
        <w:t>373:17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وأحکام الدعوی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تجیء</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وعنه مستدرک الوسائل </w:t>
      </w:r>
      <w:r>
        <w:rPr>
          <w:rFonts w:eastAsia="IRNazanin" w:cs="IRNazanin"/>
          <w:b w:val="false"/>
          <w:bCs w:val="false"/>
          <w:i w:val="false"/>
          <w:iCs w:val="false"/>
          <w:color w:val="333333"/>
          <w:sz w:val="20"/>
          <w:szCs w:val="20"/>
        </w:rPr>
        <w:t>378:17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وأحکام الدعوی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الإستصحاب للإمام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الإرشاد للمفید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xml:space="preserve">، وعنها وسائل الشیعة </w:t>
      </w:r>
      <w:r>
        <w:rPr>
          <w:rFonts w:eastAsia="IRNazanin" w:cs="IRNazanin"/>
          <w:b w:val="false"/>
          <w:bCs w:val="false"/>
          <w:i w:val="false"/>
          <w:iCs w:val="false"/>
          <w:color w:val="333333"/>
          <w:sz w:val="20"/>
          <w:szCs w:val="20"/>
        </w:rPr>
        <w:t>279:27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وأحکام الدعوی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وعنها وسائل الشیعة </w:t>
      </w:r>
      <w:r>
        <w:rPr>
          <w:rFonts w:eastAsia="IRNazanin" w:cs="IRNazanin"/>
          <w:b w:val="false"/>
          <w:bCs w:val="false"/>
          <w:i w:val="false"/>
          <w:iCs w:val="false"/>
          <w:color w:val="333333"/>
          <w:sz w:val="20"/>
          <w:szCs w:val="20"/>
        </w:rPr>
        <w:t>251:27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وأحکام الدعوی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وعنهما وسائل الشیعة </w:t>
      </w:r>
      <w:r>
        <w:rPr>
          <w:rFonts w:eastAsia="IRNazanin" w:cs="IRNazanin"/>
          <w:b w:val="false"/>
          <w:bCs w:val="false"/>
          <w:i w:val="false"/>
          <w:iCs w:val="false"/>
          <w:color w:val="333333"/>
          <w:sz w:val="20"/>
          <w:szCs w:val="20"/>
        </w:rPr>
        <w:t>254:27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وأحکام الدعوی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وعنها وسائل الشیعة </w:t>
      </w:r>
      <w:r>
        <w:rPr>
          <w:rFonts w:eastAsia="IRNazanin" w:cs="IRNazanin"/>
          <w:b w:val="false"/>
          <w:bCs w:val="false"/>
          <w:i w:val="false"/>
          <w:iCs w:val="false"/>
          <w:color w:val="333333"/>
          <w:sz w:val="20"/>
          <w:szCs w:val="20"/>
        </w:rPr>
        <w:t>251:27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القضاء وأحکام الدعوی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للإمام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وعنها وسائل الشیعة </w:t>
      </w:r>
      <w:r>
        <w:rPr>
          <w:rFonts w:eastAsia="IRNazanin" w:cs="IRNazanin"/>
          <w:b w:val="false"/>
          <w:bCs w:val="false"/>
          <w:i w:val="false"/>
          <w:iCs w:val="false"/>
          <w:color w:val="333333"/>
          <w:sz w:val="20"/>
          <w:szCs w:val="20"/>
        </w:rPr>
        <w:t>252:27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وأحکام الدعوی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وعنهاوسائل الشیعة </w:t>
      </w:r>
      <w:r>
        <w:rPr>
          <w:rFonts w:eastAsia="IRNazanin" w:cs="IRNazanin"/>
          <w:b w:val="false"/>
          <w:bCs w:val="false"/>
          <w:i w:val="false"/>
          <w:iCs w:val="false"/>
          <w:color w:val="333333"/>
          <w:sz w:val="20"/>
          <w:szCs w:val="20"/>
        </w:rPr>
        <w:t>252:27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وأحکام الدعوی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معلف الدابة، کما فی لسان العرب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وعنها وسائل الشیعة </w:t>
      </w:r>
      <w:r>
        <w:rPr>
          <w:rFonts w:eastAsia="IRNazanin" w:cs="IRNazanin"/>
          <w:b w:val="false"/>
          <w:bCs w:val="false"/>
          <w:i w:val="false"/>
          <w:iCs w:val="false"/>
          <w:color w:val="333333"/>
          <w:sz w:val="20"/>
          <w:szCs w:val="20"/>
        </w:rPr>
        <w:t>254:27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وأحکام الدعوی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وعنهما وسائل الشیعة </w:t>
      </w:r>
      <w:r>
        <w:rPr>
          <w:rFonts w:eastAsia="IRNazanin" w:cs="IRNazanin"/>
          <w:b w:val="false"/>
          <w:bCs w:val="false"/>
          <w:i w:val="false"/>
          <w:iCs w:val="false"/>
          <w:color w:val="333333"/>
          <w:sz w:val="20"/>
          <w:szCs w:val="20"/>
        </w:rPr>
        <w:t>255:27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وأحکام الدعوی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87:14</w:t>
      </w:r>
      <w:r>
        <w:rPr>
          <w:rFonts w:ascii="IRNazanin" w:hAnsi="IRNazanin" w:eastAsia="IRNazanin"/>
          <w:b w:val="false"/>
          <w:b w:val="false"/>
          <w:bCs w:val="false"/>
          <w:i w:val="false"/>
          <w:i w:val="false"/>
          <w:iCs w:val="false"/>
          <w:color w:val="333333"/>
          <w:sz w:val="20"/>
          <w:sz w:val="20"/>
          <w:szCs w:val="20"/>
          <w:rtl w:val="true"/>
        </w:rPr>
        <w:t xml:space="preserve">، کفایة الفقه، المشتهر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220:13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617:41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وعنهما وسائل الشیعة </w:t>
      </w:r>
      <w:r>
        <w:rPr>
          <w:rFonts w:eastAsia="IRNazanin" w:cs="IRNazanin"/>
          <w:b w:val="false"/>
          <w:bCs w:val="false"/>
          <w:i w:val="false"/>
          <w:iCs w:val="false"/>
          <w:color w:val="333333"/>
          <w:sz w:val="20"/>
          <w:szCs w:val="20"/>
        </w:rPr>
        <w:t>103:23</w:t>
      </w:r>
      <w:r>
        <w:rPr>
          <w:rFonts w:ascii="IRNazanin" w:hAnsi="IRNazanin" w:eastAsia="IRNazanin"/>
          <w:b w:val="false"/>
          <w:b w:val="false"/>
          <w:bCs w:val="false"/>
          <w:i w:val="false"/>
          <w:i w:val="false"/>
          <w:iCs w:val="false"/>
          <w:color w:val="333333"/>
          <w:sz w:val="20"/>
          <w:sz w:val="20"/>
          <w:szCs w:val="20"/>
          <w:rtl w:val="true"/>
        </w:rPr>
        <w:t xml:space="preserve">، کتاب العتق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218:17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11740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وعنها وسائل الشیعة </w:t>
      </w:r>
      <w:r>
        <w:rPr>
          <w:rFonts w:eastAsia="IRNazanin" w:cs="IRNazanin"/>
          <w:b w:val="false"/>
          <w:bCs w:val="false"/>
          <w:i w:val="false"/>
          <w:iCs w:val="false"/>
          <w:color w:val="333333"/>
          <w:sz w:val="20"/>
          <w:szCs w:val="20"/>
        </w:rPr>
        <w:t>257:27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وأحکام الدعوی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وعنه وسائل الشیعة </w:t>
      </w:r>
      <w:r>
        <w:rPr>
          <w:rFonts w:eastAsia="IRNazanin" w:cs="IRNazanin"/>
          <w:b w:val="false"/>
          <w:bCs w:val="false"/>
          <w:i w:val="false"/>
          <w:iCs w:val="false"/>
          <w:color w:val="333333"/>
          <w:sz w:val="20"/>
          <w:szCs w:val="20"/>
        </w:rPr>
        <w:t>261:27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الحکم وأحکام‌الدعوی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وعنه وسائل الشیعة </w:t>
      </w:r>
      <w:r>
        <w:rPr>
          <w:rFonts w:eastAsia="IRNazanin" w:cs="IRNazanin"/>
          <w:b w:val="false"/>
          <w:bCs w:val="false"/>
          <w:i w:val="false"/>
          <w:iCs w:val="false"/>
          <w:color w:val="333333"/>
          <w:sz w:val="20"/>
          <w:szCs w:val="20"/>
        </w:rPr>
        <w:t>359:19</w:t>
      </w:r>
      <w:r>
        <w:rPr>
          <w:rFonts w:ascii="IRNazanin" w:hAnsi="IRNazanin" w:eastAsia="IRNazanin"/>
          <w:b w:val="false"/>
          <w:b w:val="false"/>
          <w:bCs w:val="false"/>
          <w:i w:val="false"/>
          <w:i w:val="false"/>
          <w:iCs w:val="false"/>
          <w:color w:val="333333"/>
          <w:sz w:val="20"/>
          <w:sz w:val="20"/>
          <w:szCs w:val="20"/>
          <w:rtl w:val="true"/>
        </w:rPr>
        <w:t xml:space="preserve">، کتاب الوصایا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وعنه وسائل الشیعة </w:t>
      </w:r>
      <w:r>
        <w:rPr>
          <w:rFonts w:eastAsia="IRNazanin" w:cs="IRNazanin"/>
          <w:b w:val="false"/>
          <w:bCs w:val="false"/>
          <w:i w:val="false"/>
          <w:iCs w:val="false"/>
          <w:color w:val="333333"/>
          <w:sz w:val="20"/>
          <w:szCs w:val="20"/>
        </w:rPr>
        <w:t>257:27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وأحکام الدعوی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 وعنه وسائل الشیعة </w:t>
      </w:r>
      <w:r>
        <w:rPr>
          <w:rFonts w:eastAsia="IRNazanin" w:cs="IRNazanin"/>
          <w:b w:val="false"/>
          <w:bCs w:val="false"/>
          <w:i w:val="false"/>
          <w:iCs w:val="false"/>
          <w:color w:val="333333"/>
          <w:sz w:val="20"/>
          <w:szCs w:val="20"/>
        </w:rPr>
        <w:t>280:26</w:t>
      </w:r>
      <w:r>
        <w:rPr>
          <w:rFonts w:ascii="IRNazanin" w:hAnsi="IRNazanin" w:eastAsia="IRNazanin"/>
          <w:b w:val="false"/>
          <w:b w:val="false"/>
          <w:bCs w:val="false"/>
          <w:i w:val="false"/>
          <w:i w:val="false"/>
          <w:iCs w:val="false"/>
          <w:color w:val="333333"/>
          <w:sz w:val="20"/>
          <w:sz w:val="20"/>
          <w:szCs w:val="20"/>
          <w:rtl w:val="true"/>
        </w:rPr>
        <w:t xml:space="preserve">، کتاب الفرائض‌والمواریث، أبواب میراث ولد الملاعنة وما أشبهه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 وعنهما وسائل الشیعة </w:t>
      </w:r>
      <w:r>
        <w:rPr>
          <w:rFonts w:eastAsia="IRNazanin" w:cs="IRNazanin"/>
          <w:b w:val="false"/>
          <w:bCs w:val="false"/>
          <w:i w:val="false"/>
          <w:iCs w:val="false"/>
          <w:color w:val="333333"/>
          <w:sz w:val="20"/>
          <w:szCs w:val="20"/>
        </w:rPr>
        <w:t>171:21</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نکاح العبید والإماء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وعنه وسائل الشیعة </w:t>
      </w:r>
      <w:r>
        <w:rPr>
          <w:rFonts w:eastAsia="IRNazanin" w:cs="IRNazanin"/>
          <w:b w:val="false"/>
          <w:bCs w:val="false"/>
          <w:i w:val="false"/>
          <w:iCs w:val="false"/>
          <w:color w:val="333333"/>
          <w:sz w:val="20"/>
          <w:szCs w:val="20"/>
        </w:rPr>
        <w:t>261:27</w:t>
      </w:r>
      <w:r>
        <w:rPr>
          <w:rFonts w:ascii="IRNazanin" w:hAnsi="IRNazanin" w:eastAsia="IRNazanin"/>
          <w:b w:val="false"/>
          <w:b w:val="false"/>
          <w:bCs w:val="false"/>
          <w:i w:val="false"/>
          <w:i w:val="false"/>
          <w:iCs w:val="false"/>
          <w:color w:val="333333"/>
          <w:sz w:val="20"/>
          <w:sz w:val="20"/>
          <w:szCs w:val="20"/>
          <w:rtl w:val="true"/>
        </w:rPr>
        <w:t>، کتاب القضاء، أبواب کیفیّة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 xml:space="preserve">، وعنه وسائل الشیعة </w:t>
      </w:r>
      <w:r>
        <w:rPr>
          <w:rFonts w:eastAsia="IRNazanin" w:cs="IRNazanin"/>
          <w:b w:val="false"/>
          <w:bCs w:val="false"/>
          <w:i w:val="false"/>
          <w:iCs w:val="false"/>
          <w:color w:val="333333"/>
          <w:sz w:val="20"/>
          <w:szCs w:val="20"/>
        </w:rPr>
        <w:t>172:21</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نکاح العبید والإماء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النسبة نظر، راجع ما تقدم فی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 وعنها وسائل الشیعة </w:t>
      </w:r>
      <w:r>
        <w:rPr>
          <w:rFonts w:eastAsia="IRNazanin" w:cs="IRNazanin"/>
          <w:b w:val="false"/>
          <w:bCs w:val="false"/>
          <w:i w:val="false"/>
          <w:iCs w:val="false"/>
          <w:color w:val="333333"/>
          <w:sz w:val="20"/>
          <w:szCs w:val="20"/>
        </w:rPr>
        <w:t>312:26</w:t>
      </w:r>
      <w:r>
        <w:rPr>
          <w:rFonts w:ascii="IRNazanin" w:hAnsi="IRNazanin" w:eastAsia="IRNazanin"/>
          <w:b w:val="false"/>
          <w:b w:val="false"/>
          <w:bCs w:val="false"/>
          <w:i w:val="false"/>
          <w:i w:val="false"/>
          <w:iCs w:val="false"/>
          <w:color w:val="333333"/>
          <w:sz w:val="20"/>
          <w:sz w:val="20"/>
          <w:szCs w:val="20"/>
          <w:rtl w:val="true"/>
        </w:rPr>
        <w:t xml:space="preserve">، کتاب الفرائض والمواریث، أبواب میراث الغرقی والمهدوم علیهم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258:27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وأحکام الدعوی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العناوین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وعنها وسائل الشیعة </w:t>
      </w:r>
      <w:r>
        <w:rPr>
          <w:rFonts w:eastAsia="IRNazanin" w:cs="IRNazanin"/>
          <w:b w:val="false"/>
          <w:bCs w:val="false"/>
          <w:i w:val="false"/>
          <w:iCs w:val="false"/>
          <w:color w:val="333333"/>
          <w:sz w:val="20"/>
          <w:szCs w:val="20"/>
        </w:rPr>
        <w:t>311:26</w:t>
      </w:r>
      <w:r>
        <w:rPr>
          <w:rFonts w:ascii="IRNazanin" w:hAnsi="IRNazanin" w:eastAsia="IRNazanin"/>
          <w:b w:val="false"/>
          <w:b w:val="false"/>
          <w:bCs w:val="false"/>
          <w:i w:val="false"/>
          <w:i w:val="false"/>
          <w:iCs w:val="false"/>
          <w:color w:val="333333"/>
          <w:sz w:val="20"/>
          <w:sz w:val="20"/>
          <w:szCs w:val="20"/>
          <w:rtl w:val="true"/>
        </w:rPr>
        <w:t xml:space="preserve">، کتاب الفرائض والمواریث، أبواب میراث الغرقی والمهدوم علیهم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259:27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وأحکام الدعوی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العناوین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xml:space="preserve">، وعنه وسائل الشیعة </w:t>
      </w:r>
      <w:r>
        <w:rPr>
          <w:rFonts w:eastAsia="IRNazanin" w:cs="IRNazanin"/>
          <w:b w:val="false"/>
          <w:bCs w:val="false"/>
          <w:i w:val="false"/>
          <w:iCs w:val="false"/>
          <w:color w:val="333333"/>
          <w:sz w:val="20"/>
          <w:szCs w:val="20"/>
        </w:rPr>
        <w:t>312:26</w:t>
      </w:r>
      <w:r>
        <w:rPr>
          <w:rFonts w:ascii="IRNazanin" w:hAnsi="IRNazanin" w:eastAsia="IRNazanin"/>
          <w:b w:val="false"/>
          <w:b w:val="false"/>
          <w:bCs w:val="false"/>
          <w:i w:val="false"/>
          <w:i w:val="false"/>
          <w:iCs w:val="false"/>
          <w:color w:val="333333"/>
          <w:sz w:val="20"/>
          <w:sz w:val="20"/>
          <w:szCs w:val="20"/>
          <w:rtl w:val="true"/>
        </w:rPr>
        <w:t xml:space="preserve">، کتاب الفرائض والمواریث، أبواب میراث الغرقی والمهدوم علیهم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العناوین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وعنه وسائل الشیعة </w:t>
      </w:r>
      <w:r>
        <w:rPr>
          <w:rFonts w:eastAsia="IRNazanin" w:cs="IRNazanin"/>
          <w:b w:val="false"/>
          <w:bCs w:val="false"/>
          <w:i w:val="false"/>
          <w:iCs w:val="false"/>
          <w:color w:val="333333"/>
          <w:sz w:val="20"/>
          <w:szCs w:val="20"/>
        </w:rPr>
        <w:t>169:24</w:t>
      </w:r>
      <w:r>
        <w:rPr>
          <w:rFonts w:ascii="IRNazanin" w:hAnsi="IRNazanin" w:eastAsia="IRNazanin"/>
          <w:b w:val="false"/>
          <w:b w:val="false"/>
          <w:bCs w:val="false"/>
          <w:i w:val="false"/>
          <w:i w:val="false"/>
          <w:iCs w:val="false"/>
          <w:color w:val="333333"/>
          <w:sz w:val="20"/>
          <w:sz w:val="20"/>
          <w:szCs w:val="20"/>
          <w:rtl w:val="true"/>
        </w:rPr>
        <w:t xml:space="preserve">، کتاب الأطعمة والأشربة، أبواب الأطعمة المحرّمة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وعنه وسائل الشیعة </w:t>
      </w:r>
      <w:r>
        <w:rPr>
          <w:rFonts w:eastAsia="IRNazanin" w:cs="IRNazanin"/>
          <w:b w:val="false"/>
          <w:bCs w:val="false"/>
          <w:i w:val="false"/>
          <w:iCs w:val="false"/>
          <w:color w:val="333333"/>
          <w:sz w:val="20"/>
          <w:szCs w:val="20"/>
        </w:rPr>
        <w:t>170:24</w:t>
      </w:r>
      <w:r>
        <w:rPr>
          <w:rFonts w:ascii="IRNazanin" w:hAnsi="IRNazanin" w:eastAsia="IRNazanin"/>
          <w:b w:val="false"/>
          <w:b w:val="false"/>
          <w:bCs w:val="false"/>
          <w:i w:val="false"/>
          <w:i w:val="false"/>
          <w:iCs w:val="false"/>
          <w:color w:val="333333"/>
          <w:sz w:val="20"/>
          <w:sz w:val="20"/>
          <w:szCs w:val="20"/>
          <w:rtl w:val="true"/>
        </w:rPr>
        <w:t xml:space="preserve">، کتاب الأطعمة والأشربة، أبواب الأطعمة المحرّمة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6361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فی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255:65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418:37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418:37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424:37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العوائد، ولکن صرح به فی مستند الشیعة </w:t>
      </w:r>
      <w:r>
        <w:rPr>
          <w:rFonts w:eastAsia="IRNazanin" w:cs="IRNazanin"/>
          <w:b w:val="false"/>
          <w:bCs w:val="false"/>
          <w:i w:val="false"/>
          <w:iCs w:val="false"/>
          <w:color w:val="333333"/>
          <w:sz w:val="20"/>
          <w:szCs w:val="20"/>
        </w:rPr>
        <w:t>126:15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العناوین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99:17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ما یکتسب به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187:24</w:t>
      </w:r>
      <w:r>
        <w:rPr>
          <w:rFonts w:ascii="IRNazanin" w:hAnsi="IRNazanin" w:eastAsia="IRNazanin"/>
          <w:b w:val="false"/>
          <w:b w:val="false"/>
          <w:bCs w:val="false"/>
          <w:i w:val="false"/>
          <w:i w:val="false"/>
          <w:iCs w:val="false"/>
          <w:color w:val="333333"/>
          <w:sz w:val="20"/>
          <w:sz w:val="20"/>
          <w:szCs w:val="20"/>
          <w:rtl w:val="true"/>
        </w:rPr>
        <w:t xml:space="preserve">، کتاب الأطعمة والأشربة، أبواب الأطعمة المحرمة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وأنّه مخطوط ولم یطبع إلی الآن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680:4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الأربعین للمجلسی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القوانین المحکمة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2523</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وعنها وسائل الشیعة </w:t>
      </w:r>
      <w:r>
        <w:rPr>
          <w:rFonts w:eastAsia="IRNazanin" w:cs="IRNazanin"/>
          <w:b w:val="false"/>
          <w:bCs w:val="false"/>
          <w:i w:val="false"/>
          <w:iCs w:val="false"/>
          <w:color w:val="333333"/>
          <w:sz w:val="20"/>
          <w:szCs w:val="20"/>
        </w:rPr>
        <w:t>292:26</w:t>
      </w:r>
      <w:r>
        <w:rPr>
          <w:rFonts w:ascii="IRNazanin" w:hAnsi="IRNazanin" w:eastAsia="IRNazanin"/>
          <w:b w:val="false"/>
          <w:b w:val="false"/>
          <w:bCs w:val="false"/>
          <w:i w:val="false"/>
          <w:i w:val="false"/>
          <w:iCs w:val="false"/>
          <w:color w:val="333333"/>
          <w:sz w:val="20"/>
          <w:sz w:val="20"/>
          <w:szCs w:val="20"/>
          <w:rtl w:val="true"/>
        </w:rPr>
        <w:t xml:space="preserve">، کتاب الفرائض، أبواب میراث الخنثی وما أشبهه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عنهما فی مختلف الشیعة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379:2</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الأذهان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تحریر الأحکام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6398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سلته مؤلفات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xml:space="preserve">، وعنهما وسائل الشیعة </w:t>
      </w:r>
      <w:r>
        <w:rPr>
          <w:rFonts w:eastAsia="IRNazanin" w:cs="IRNazanin"/>
          <w:b w:val="false"/>
          <w:bCs w:val="false"/>
          <w:i w:val="false"/>
          <w:iCs w:val="false"/>
          <w:color w:val="333333"/>
          <w:sz w:val="20"/>
          <w:szCs w:val="20"/>
        </w:rPr>
        <w:t>61:23</w:t>
      </w:r>
      <w:r>
        <w:rPr>
          <w:rFonts w:ascii="IRNazanin" w:hAnsi="IRNazanin" w:eastAsia="IRNazanin"/>
          <w:b w:val="false"/>
          <w:b w:val="false"/>
          <w:bCs w:val="false"/>
          <w:i w:val="false"/>
          <w:i w:val="false"/>
          <w:iCs w:val="false"/>
          <w:color w:val="333333"/>
          <w:sz w:val="20"/>
          <w:sz w:val="20"/>
          <w:szCs w:val="20"/>
          <w:rtl w:val="true"/>
        </w:rPr>
        <w:t xml:space="preserve">، کتاب العتق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وعنه وسائل الشیعة </w:t>
      </w:r>
      <w:r>
        <w:rPr>
          <w:rFonts w:eastAsia="IRNazanin" w:cs="IRNazanin"/>
          <w:b w:val="false"/>
          <w:bCs w:val="false"/>
          <w:i w:val="false"/>
          <w:iCs w:val="false"/>
          <w:color w:val="333333"/>
          <w:sz w:val="20"/>
          <w:szCs w:val="20"/>
        </w:rPr>
        <w:t>114:15</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العدوّ،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وعنهما وسائل الشیعة </w:t>
      </w:r>
      <w:r>
        <w:rPr>
          <w:rFonts w:eastAsia="IRNazanin" w:cs="IRNazanin"/>
          <w:b w:val="false"/>
          <w:bCs w:val="false"/>
          <w:i w:val="false"/>
          <w:iCs w:val="false"/>
          <w:color w:val="333333"/>
          <w:sz w:val="20"/>
          <w:szCs w:val="20"/>
        </w:rPr>
        <w:t>216:13</w:t>
      </w:r>
      <w:r>
        <w:rPr>
          <w:rFonts w:ascii="IRNazanin" w:hAnsi="IRNazanin" w:eastAsia="IRNazanin"/>
          <w:b w:val="false"/>
          <w:b w:val="false"/>
          <w:bCs w:val="false"/>
          <w:i w:val="false"/>
          <w:i w:val="false"/>
          <w:iCs w:val="false"/>
          <w:color w:val="333333"/>
          <w:sz w:val="20"/>
          <w:sz w:val="20"/>
          <w:szCs w:val="20"/>
          <w:rtl w:val="true"/>
        </w:rPr>
        <w:t xml:space="preserve">، کتاب الحجّ، أبواب مقدمات الطواف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الزهد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وعنه وسائل الشیعة </w:t>
      </w:r>
      <w:r>
        <w:rPr>
          <w:rFonts w:eastAsia="IRNazanin" w:cs="IRNazanin"/>
          <w:b w:val="false"/>
          <w:bCs w:val="false"/>
          <w:i w:val="false"/>
          <w:iCs w:val="false"/>
          <w:color w:val="333333"/>
          <w:sz w:val="20"/>
          <w:szCs w:val="20"/>
        </w:rPr>
        <w:t>310:12</w:t>
      </w:r>
      <w:r>
        <w:rPr>
          <w:rFonts w:ascii="IRNazanin" w:hAnsi="IRNazanin" w:eastAsia="IRNazanin"/>
          <w:b w:val="false"/>
          <w:b w:val="false"/>
          <w:bCs w:val="false"/>
          <w:i w:val="false"/>
          <w:i w:val="false"/>
          <w:iCs w:val="false"/>
          <w:color w:val="333333"/>
          <w:sz w:val="20"/>
          <w:sz w:val="20"/>
          <w:szCs w:val="20"/>
          <w:rtl w:val="true"/>
        </w:rPr>
        <w:t xml:space="preserve">، کتاب الحجّ، أبواب أحکام العشرة ب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حلیه الأولیاء </w:t>
      </w:r>
      <w:r>
        <w:rPr>
          <w:rFonts w:eastAsia="IRNazanin" w:cs="IRNazanin"/>
          <w:b w:val="false"/>
          <w:bCs w:val="false"/>
          <w:i w:val="false"/>
          <w:iCs w:val="false"/>
          <w:color w:val="333333"/>
          <w:sz w:val="20"/>
          <w:szCs w:val="20"/>
        </w:rPr>
        <w:t>215:10</w:t>
      </w:r>
      <w:r>
        <w:rPr>
          <w:rFonts w:ascii="IRNazanin" w:hAnsi="IRNazanin" w:eastAsia="IRNazanin"/>
          <w:b w:val="false"/>
          <w:b w:val="false"/>
          <w:bCs w:val="false"/>
          <w:i w:val="false"/>
          <w:i w:val="false"/>
          <w:iCs w:val="false"/>
          <w:color w:val="333333"/>
          <w:sz w:val="20"/>
          <w:sz w:val="20"/>
          <w:szCs w:val="20"/>
          <w:rtl w:val="true"/>
        </w:rPr>
        <w:t>، وعنه الأمان من أخطار الأسفار والأزمان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ولکن المتن مطابق لعوائد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والعناوین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وأیضاً رواه فی صحیح مسلم </w:t>
      </w:r>
      <w:r>
        <w:rPr>
          <w:rFonts w:eastAsia="IRNazanin" w:cs="IRNazanin"/>
          <w:b w:val="false"/>
          <w:bCs w:val="false"/>
          <w:i w:val="false"/>
          <w:iCs w:val="false"/>
          <w:color w:val="333333"/>
          <w:sz w:val="20"/>
          <w:szCs w:val="20"/>
        </w:rPr>
        <w:t>1043:3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1668</w:t>
      </w:r>
      <w:r>
        <w:rPr>
          <w:rFonts w:ascii="IRNazanin" w:hAnsi="IRNazanin" w:eastAsia="IRNazanin"/>
          <w:b w:val="false"/>
          <w:b w:val="false"/>
          <w:bCs w:val="false"/>
          <w:i w:val="false"/>
          <w:i w:val="false"/>
          <w:iCs w:val="false"/>
          <w:color w:val="333333"/>
          <w:sz w:val="20"/>
          <w:sz w:val="20"/>
          <w:szCs w:val="20"/>
          <w:rtl w:val="true"/>
        </w:rPr>
        <w:t xml:space="preserve">، وعوالی اللئالی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306:8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وغیرها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وحکی عنه فی 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183:2</w:t>
      </w:r>
      <w:r>
        <w:rPr>
          <w:rFonts w:ascii="IRNazanin" w:hAnsi="IRNazanin" w:eastAsia="IRNazanin"/>
          <w:b w:val="false"/>
          <w:b w:val="false"/>
          <w:bCs w:val="false"/>
          <w:i w:val="false"/>
          <w:i w:val="false"/>
          <w:iCs w:val="false"/>
          <w:color w:val="333333"/>
          <w:sz w:val="20"/>
          <w:sz w:val="20"/>
          <w:szCs w:val="20"/>
          <w:rtl w:val="true"/>
        </w:rPr>
        <w:t xml:space="preserve">، القاعدة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العناوین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العناوین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للبجنوردی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قاعده الزام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للإمام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183:2</w:t>
      </w:r>
      <w:r>
        <w:rPr>
          <w:rFonts w:ascii="IRNazanin" w:hAnsi="IRNazanin" w:eastAsia="IRNazanin"/>
          <w:b w:val="false"/>
          <w:b w:val="false"/>
          <w:bCs w:val="false"/>
          <w:i w:val="false"/>
          <w:i w:val="false"/>
          <w:iCs w:val="false"/>
          <w:color w:val="333333"/>
          <w:sz w:val="20"/>
          <w:sz w:val="20"/>
          <w:szCs w:val="20"/>
          <w:rtl w:val="true"/>
        </w:rPr>
        <w:t xml:space="preserve">، القاعده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العناوین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القرعة، للشیخ حسین الکریمی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208:6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xml:space="preserve">، وعنها وسائل الشیعة </w:t>
      </w:r>
      <w:r>
        <w:rPr>
          <w:rFonts w:eastAsia="IRNazanin" w:cs="IRNazanin"/>
          <w:b w:val="false"/>
          <w:bCs w:val="false"/>
          <w:i w:val="false"/>
          <w:iCs w:val="false"/>
          <w:color w:val="333333"/>
          <w:sz w:val="20"/>
          <w:szCs w:val="20"/>
        </w:rPr>
        <w:t>452:18</w:t>
      </w:r>
      <w:r>
        <w:rPr>
          <w:rFonts w:ascii="IRNazanin" w:hAnsi="IRNazanin" w:eastAsia="IRNazanin"/>
          <w:b w:val="false"/>
          <w:b w:val="false"/>
          <w:bCs w:val="false"/>
          <w:i w:val="false"/>
          <w:i w:val="false"/>
          <w:iCs w:val="false"/>
          <w:color w:val="333333"/>
          <w:sz w:val="20"/>
          <w:sz w:val="20"/>
          <w:szCs w:val="20"/>
          <w:rtl w:val="true"/>
        </w:rPr>
        <w:t xml:space="preserve">، کتاب الصلح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تعرّضنا لهذه القاعدة فی مباحثنا الفقهیّة فی المعاملات وأخترنا عدم صحّة هذه القاعدة کما أختاره والدنا الراحل رضوان اللّه علیه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العدل والإنصاف لا تکون من القواعد الفقهیّة المعتبرة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تفصیل الشریعة فی شرح تحریر الوسیلة، کتاب الخمس والأنفال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القسم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679:4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نصّ خاص فی ذلک، إلاّ أن یراد بها الروایات العامّة المتقدّمة فی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أو الروایات الواردة فی میراث الخنثی المشکل المتقدّمة فی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کما تقدّمت فی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العناوین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تقدّم عن المحقّق العراقی فی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العناوین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صلاة الجماعة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218:27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آداب القاضی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678:31</w:t>
      </w:r>
      <w:r>
        <w:rPr>
          <w:rFonts w:ascii="IRNazanin" w:hAnsi="IRNazanin" w:eastAsia="IRNazanin"/>
          <w:b w:val="false"/>
          <w:b w:val="false"/>
          <w:bCs w:val="false"/>
          <w:i w:val="false"/>
          <w:i w:val="false"/>
          <w:iCs w:val="false"/>
          <w:color w:val="333333"/>
          <w:sz w:val="20"/>
          <w:sz w:val="20"/>
          <w:szCs w:val="20"/>
          <w:rtl w:val="true"/>
        </w:rPr>
        <w:t xml:space="preserve">، وراجع أیضاً جامع المقاصد </w:t>
      </w:r>
      <w:r>
        <w:rPr>
          <w:rFonts w:eastAsia="IRNazanin" w:cs="IRNazanin"/>
          <w:b w:val="false"/>
          <w:bCs w:val="false"/>
          <w:i w:val="false"/>
          <w:iCs w:val="false"/>
          <w:color w:val="333333"/>
          <w:sz w:val="20"/>
          <w:szCs w:val="20"/>
        </w:rPr>
        <w:t>310:13</w:t>
      </w:r>
      <w:r>
        <w:rPr>
          <w:rFonts w:ascii="IRNazanin" w:hAnsi="IRNazanin" w:eastAsia="IRNazanin"/>
          <w:b w:val="false"/>
          <w:b w:val="false"/>
          <w:bCs w:val="false"/>
          <w:i w:val="false"/>
          <w:i w:val="false"/>
          <w:iCs w:val="false"/>
          <w:color w:val="333333"/>
          <w:sz w:val="20"/>
          <w:sz w:val="20"/>
          <w:szCs w:val="20"/>
          <w:rtl w:val="true"/>
        </w:rPr>
        <w:t xml:space="preserve">، وکشف اللثام </w:t>
      </w:r>
      <w:r>
        <w:rPr>
          <w:rFonts w:eastAsia="IRNazanin" w:cs="IRNazanin"/>
          <w:b w:val="false"/>
          <w:bCs w:val="false"/>
          <w:i w:val="false"/>
          <w:iCs w:val="false"/>
          <w:color w:val="333333"/>
          <w:sz w:val="20"/>
          <w:szCs w:val="20"/>
        </w:rPr>
        <w:t>393:7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الشیخ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261:4</w:t>
      </w:r>
      <w:r>
        <w:rPr>
          <w:rFonts w:ascii="IRNazanin" w:hAnsi="IRNazanin" w:eastAsia="IRNazanin"/>
          <w:b w:val="false"/>
          <w:b w:val="false"/>
          <w:bCs w:val="false"/>
          <w:i w:val="false"/>
          <w:i w:val="false"/>
          <w:iCs w:val="false"/>
          <w:color w:val="333333"/>
          <w:sz w:val="20"/>
          <w:sz w:val="20"/>
          <w:szCs w:val="20"/>
          <w:rtl w:val="true"/>
        </w:rPr>
        <w:t>، الإستصحاب للإمام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کما تقدّم فی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کما تقدّم فی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الشیخ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386:3</w:t>
      </w:r>
      <w:r>
        <w:rPr>
          <w:rFonts w:ascii="IRNazanin" w:hAnsi="IRNazanin" w:eastAsia="IRNazanin"/>
          <w:b w:val="false"/>
          <w:b w:val="false"/>
          <w:bCs w:val="false"/>
          <w:i w:val="false"/>
          <w:i w:val="false"/>
          <w:iCs w:val="false"/>
          <w:color w:val="333333"/>
          <w:sz w:val="20"/>
          <w:sz w:val="20"/>
          <w:szCs w:val="20"/>
          <w:rtl w:val="true"/>
        </w:rPr>
        <w:t xml:space="preserve">، کما تقدم فی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678:4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ذلک عن المشهور فی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375:3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التیمم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444:5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508:4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509:4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هو فی الأولیّة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غلط</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450:5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79:15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وعنهما وسائل الشیعة </w:t>
      </w:r>
      <w:r>
        <w:rPr>
          <w:rFonts w:eastAsia="IRNazanin" w:cs="IRNazanin"/>
          <w:b w:val="false"/>
          <w:bCs w:val="false"/>
          <w:i w:val="false"/>
          <w:iCs w:val="false"/>
          <w:color w:val="333333"/>
          <w:sz w:val="20"/>
          <w:szCs w:val="20"/>
        </w:rPr>
        <w:t>276:21</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المهور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المذکور فی سورة آل‌عمران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وتقدّم ذکرها فی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للإمام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589:1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وعنه وسائل الشیعة </w:t>
      </w:r>
      <w:r>
        <w:rPr>
          <w:rFonts w:eastAsia="IRNazanin" w:cs="IRNazanin"/>
          <w:b w:val="false"/>
          <w:bCs w:val="false"/>
          <w:i w:val="false"/>
          <w:iCs w:val="false"/>
          <w:color w:val="333333"/>
          <w:sz w:val="20"/>
          <w:szCs w:val="20"/>
        </w:rPr>
        <w:t>259:27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أبواب‌کیفیّة الحکم، وأحکام الدعوی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الفوائد فی شرح الفرائد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image" Target="media/image2.jpeg"/><Relationship Id="rId140" Type="http://schemas.openxmlformats.org/officeDocument/2006/relationships/image" Target="media/image2.jpeg"/><Relationship Id="rId141" Type="http://schemas.openxmlformats.org/officeDocument/2006/relationships/footer" Target="footer134.xml"/><Relationship Id="rId142" Type="http://schemas.openxmlformats.org/officeDocument/2006/relationships/footnotes" Target="footnotes.xml"/><Relationship Id="rId143" Type="http://schemas.openxmlformats.org/officeDocument/2006/relationships/numbering" Target="numbering.xml"/><Relationship Id="rId144" Type="http://schemas.openxmlformats.org/officeDocument/2006/relationships/fontTable" Target="fontTable.xml"/><Relationship Id="rId145" Type="http://schemas.openxmlformats.org/officeDocument/2006/relationships/settings" Target="settings.xml"/><Relationship Id="rId1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139</Pages>
  <Words>27529</Words>
  <Characters>123992</Characters>
  <CharactersWithSpaces>150346</CharactersWithSpaces>
  <Paragraphs>1577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2026-08-19T02:06:35Z</dcterms:created>
  <dc:creator>ghaemiyeh.com</dc:creator>
  <dc:description/>
  <dc:language>en-US</dc:language>
  <cp:lastModifiedBy/>
  <dcterms:modified xsi:type="dcterms:W3CDTF">2026-08-19T05:36:40Z</dcterms:modified>
  <cp:revision>1</cp:revision>
  <dc:subject/>
  <dc:title>قاعده القرعه</dc:title>
</cp:coreProperties>
</file>

<file path=docProps/custom.xml><?xml version="1.0" encoding="utf-8"?>
<Properties xmlns="http://schemas.openxmlformats.org/officeDocument/2006/custom-properties" xmlns:vt="http://schemas.openxmlformats.org/officeDocument/2006/docPropsVTypes"/>
</file>